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8" w:before="0" w:after="160"/>
        <w:ind w:start="0"/>
        <w:jc w:val="start"/>
        <w:rPr>
          <w:rFonts w:ascii="Times New Roman" w:hAnsi="Times New Roman" w:eastAsia="Times New Roman"/>
          <w:color w:val="auto"/>
          <w:szCs w:val="24"/>
          <w:lang w:val="fr-FR"/>
        </w:r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417" w:right="1417" w:gutter="0" w:header="708" w:top="1417" w:footer="708" w:bottom="1417"/>
          <w:pgNumType w:fmt="decimal"/>
          <w:formProt w:val="false"/>
          <w:titlePg/>
          <w:textDirection w:val="lrTb"/>
          <w:docGrid w:type="default" w:linePitch="360" w:charSpace="0"/>
        </w:sectPr>
      </w:pPr>
      <w:r>
        <w:rPr/>
        <w:drawing>
          <wp:inline distT="0" distB="0" distL="0" distR="0">
            <wp:extent cx="6257925" cy="8715375"/>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2"/>
                    <a:stretch>
                      <a:fillRect/>
                    </a:stretch>
                  </pic:blipFill>
                  <pic:spPr bwMode="auto">
                    <a:xfrm>
                      <a:off x="0" y="0"/>
                      <a:ext cx="6257925" cy="8715375"/>
                    </a:xfrm>
                    <a:prstGeom prst="rect">
                      <a:avLst/>
                    </a:prstGeom>
                    <a:noFill/>
                  </pic:spPr>
                </pic:pic>
              </a:graphicData>
            </a:graphic>
          </wp:inline>
        </w:drawing>
      </w:r>
    </w:p>
    <w:p>
      <w:pPr>
        <w:pStyle w:val="Normal"/>
        <w:spacing w:lineRule="auto" w:line="278" w:before="0" w:after="160"/>
        <w:ind w:start="0"/>
        <w:jc w:val="start"/>
        <w:rPr>
          <w:rFonts w:ascii="Times New Roman" w:hAnsi="Times New Roman" w:eastAsia="Times New Roman"/>
          <w:color w:val="auto"/>
          <w:szCs w:val="24"/>
          <w:lang w:val="fr-FR"/>
        </w:rPr>
      </w:pPr>
      <w:r>
        <w:rPr>
          <w:rFonts w:eastAsia="Times New Roman" w:ascii="Times New Roman" w:hAnsi="Times New Roman"/>
          <w:color w:val="auto"/>
          <w:szCs w:val="24"/>
          <w:lang w:val="fr-FR"/>
        </w:rPr>
      </w:r>
    </w:p>
    <w:p>
      <w:pPr>
        <w:pStyle w:val="Heading1"/>
        <w:rPr/>
      </w:pPr>
      <w:r>
        <w:rPr/>
        <w:t>Bundeswehr : réveil militaire ou mainmise sur la défense euro péenne</w:t>
      </w:r>
      <w:r>
        <w:rPr>
          <w:rFonts w:cs="Arial" w:ascii="Arial" w:hAnsi="Arial"/>
        </w:rPr>
        <w:t> </w:t>
      </w:r>
      <w:r>
        <w:rPr/>
        <w:t>?</w:t>
      </w:r>
    </w:p>
    <w:p>
      <w:pPr>
        <w:pStyle w:val="Normal"/>
        <w:rPr>
          <w:rFonts w:ascii="Times New Roman" w:hAnsi="Times New Roman" w:eastAsia="Times New Roman" w:cs="Times New Roman"/>
          <w:color w:themeColor="text2" w:themeTint="80" w:val="4C94D8"/>
          <w:sz w:val="28"/>
          <w:szCs w:val="28"/>
          <w:lang w:val="fr-FR" w:eastAsia="fr-FR"/>
        </w:rPr>
      </w:pPr>
      <w:r>
        <w:rPr>
          <w:rFonts w:cs="Times New Roman" w:ascii="Times New Roman" w:hAnsi="Times New Roman"/>
          <w:color w:themeColor="text2" w:themeTint="80" w:val="4C94D8"/>
          <w:lang w:val="fr-FR"/>
        </w:rPr>
        <w:t>Quand le réarmement allemand interroge l’équilibre stratégique du continent</w:t>
      </w:r>
    </w:p>
    <w:p>
      <w:pPr>
        <w:pStyle w:val="Normal"/>
        <w:spacing w:lineRule="auto" w:line="240" w:beforeAutospacing="1" w:afterAutospacing="1"/>
        <w:ind w:start="1276"/>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 Le réarmement allemand, je l’ai toujours considéré comme inévitable. Mais à condition qu’il soit encadré, contrôlé, et que la France garde la prééminence militaire en Europe occidentale. Une Allemagne réarmée sans contrepoids français, ce serait le retour aux démons du passé. »</w:t>
      </w:r>
      <w:r>
        <w:rPr>
          <w:rStyle w:val="FootnoteReference"/>
          <w:rFonts w:eastAsia="Times New Roman" w:cs="Times New Roman" w:ascii="Times New Roman" w:hAnsi="Times New Roman"/>
          <w:color w:val="auto"/>
          <w:szCs w:val="24"/>
          <w:lang w:val="fr-FR" w:eastAsia="fr-FR"/>
        </w:rPr>
        <w:footnoteReference w:id="2"/>
      </w:r>
    </w:p>
    <w:p>
      <w:pPr>
        <w:pStyle w:val="ListParagraph"/>
        <w:spacing w:lineRule="auto" w:line="240" w:before="0" w:after="120"/>
        <w:ind w:start="0" w:end="141"/>
        <w:contextualSpacing w:val="false"/>
        <w:jc w:val="end"/>
        <w:rPr>
          <w:rFonts w:ascii="Times New Roman" w:hAnsi="Times New Roman" w:cs="Times New Roman"/>
          <w:szCs w:val="24"/>
          <w:lang w:val="fr-FR"/>
        </w:rPr>
      </w:pPr>
      <w:r>
        <w:rPr>
          <w:rFonts w:cs="Times New Roman" w:ascii="Times New Roman" w:hAnsi="Times New Roman"/>
          <w:szCs w:val="24"/>
          <w:lang w:val="fr-FR"/>
        </w:rPr>
        <w:t>Charles de Gaulle</w:t>
      </w:r>
    </w:p>
    <w:p>
      <w:pPr>
        <w:pStyle w:val="Heading2"/>
        <w:ind w:start="0"/>
        <w:rPr/>
      </w:pPr>
      <w:r>
        <w:rPr/>
        <w:t>Introduction</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publication de la nouvelle conception allemande de défense militaire ne constitue pas un simple document technique de planification capacitaire. Elle ne se réduit pas davantage à l’annonce d’un effort de réarmement, même considérable, destiné à combler les lacunes accumulées par la Bundeswehr depuis la fin de la guerre froide. Elle marque plus profondément une inflexion stratégique majeure : l’Allemagne ne veut plus seulement participer à la défense européenne ; elle entend désormais en devenir l’un des pôles directeurs, sinon le principal organisateur conventionnel.</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w:t>
      </w:r>
      <w:r>
        <w:rPr>
          <w:rFonts w:eastAsia="Times New Roman" w:cs="Times New Roman" w:ascii="Times New Roman" w:hAnsi="Times New Roman"/>
          <w:i/>
          <w:iCs/>
          <w:color w:val="auto"/>
          <w:szCs w:val="24"/>
          <w:lang w:val="fr-FR" w:eastAsia="fr-FR"/>
        </w:rPr>
        <w:t>Gesamtkonzeption der militärischen Verteidigung</w:t>
      </w:r>
      <w:r>
        <w:rPr>
          <w:rFonts w:eastAsia="Times New Roman" w:cs="Times New Roman" w:ascii="Times New Roman" w:hAnsi="Times New Roman"/>
          <w:color w:val="auto"/>
          <w:szCs w:val="24"/>
          <w:lang w:val="fr-FR" w:eastAsia="fr-FR"/>
        </w:rPr>
        <w:t>, publiée le 22 avril 2026, traduit ces orientations en doctrine officielle : face à une Russie désignée comme menace principale, immédiate et durable, l’Allemagne doit se doter de l’armée conventionnelle la plus puissante d’Europe afin de rendre crédible la dissuasion et la défense de l’Alliance. Une telle ambition peut sembler logique dans le contexte de la guerre en Ukraine, du retour de la conflictualité de haute intensité, des opérations hybrides, de la vulnérabilité des infrastructures critiques et de l’incertitude croissante pesant sur la garantie américaine. Cette inflexion ne surgit pas ex nihilo. Elle s’inscrit dans une séquence politique inaugurée par le discours de la </w:t>
      </w:r>
      <w:r>
        <w:rPr>
          <w:rFonts w:eastAsia="Times New Roman" w:cs="Times New Roman" w:ascii="Times New Roman" w:hAnsi="Times New Roman"/>
          <w:i/>
          <w:iCs/>
          <w:color w:val="auto"/>
          <w:szCs w:val="24"/>
          <w:lang w:val="fr-FR" w:eastAsia="fr-FR"/>
        </w:rPr>
        <w:t>Zeitenwende</w:t>
      </w:r>
      <w:r>
        <w:rPr>
          <w:rFonts w:eastAsia="Times New Roman" w:cs="Times New Roman" w:ascii="Times New Roman" w:hAnsi="Times New Roman"/>
          <w:color w:val="auto"/>
          <w:szCs w:val="24"/>
          <w:lang w:val="fr-FR" w:eastAsia="fr-FR"/>
        </w:rPr>
        <w:t xml:space="preserve"> d’Olaf Scholz en février 2022, prolongée par la stratégie de sécurité nationale de 2023, et désormais amplifiée par les prises de position du chancelier Friedrich Merz. Dans son discours prononcé à la Conférence de Munich sur la sécurité le 14 février 2025, quelques jours avant l’élection du Bundestag, Merz avait déjà posé les jalons de cette nouvelle ambition. Il y affirmait que l’Allemagne devait cesser d’être un « géant économique et un nain politique », qu’elle devait assumer un « rôle de leader » dans la sécurité européenne et que les Européens ne pouvaient plus compter indéfiniment sur la garantie américaine sans accroître substantiellement leur propre effort.  </w:t>
      </w:r>
    </w:p>
    <w:p>
      <w:pPr>
        <w:pStyle w:val="Normal"/>
        <w:spacing w:lineRule="auto" w:line="240"/>
        <w:ind w:firstLine="426" w:start="0"/>
        <w:rPr>
          <w:lang w:val="fr-FR"/>
        </w:rPr>
      </w:pPr>
      <w:r>
        <w:rPr>
          <w:rFonts w:cs="Times New Roman" w:ascii="Times New Roman" w:hAnsi="Times New Roman"/>
          <w:lang w:val="fr-FR"/>
        </w:rPr>
        <w:t>Une lecture plus approfondie du document conduit toutefois à poser plusieurs questions. À travers le choix des mots, les priorités affichées, les ambitions capacitaires, les silences et les absences se dessine une interrogation plus fondamentale : l’Allemagne entend-elle seulement renforcer la défense conventionnelle de l’Europe, ou prépare-t-elle les conditions d’une position directrice de l’allemagne sur la future architecture européenne de défense conventionnelle, notamment dans l’hypothèse d’un retrait partiel, d’une disponibilité réduite ou d’une participation minimaliste des États-Unis ? Quel rôle entend-elle faire jouer à ses partenaires européens, jamais cités nommément dans le document ? Quelles synergies industrielles et technologiques veut-elle réellement promouvoir entre les bases industrielles et technologiques de défense européennes ? Sur ces points, le texte reste silencieux</w:t>
      </w:r>
      <w:r>
        <w:rPr>
          <w:lang w:val="fr-FR"/>
        </w:rPr>
        <w:t xml:space="preserve">. </w:t>
      </w:r>
    </w:p>
    <w:p>
      <w:pPr>
        <w:pStyle w:val="Normal"/>
        <w:spacing w:lineRule="auto" w:line="240" w:before="0" w:after="360"/>
        <w:ind w:firstLine="425"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Trois formulations du texte méritent à cet égard d’être placées au cœur de l’analyse. La première, attribuée à Boris Pistorius, fixe le ton politique : « Le message doit être clair : l’Allemagne va de l’avant – en tant que pionnière parmi les nations européennes. »</w:t>
      </w:r>
      <w:r>
        <w:rPr>
          <w:rStyle w:val="FootnoteReference"/>
          <w:rFonts w:eastAsia="Times New Roman" w:cs="Times New Roman" w:ascii="Times New Roman" w:hAnsi="Times New Roman"/>
          <w:color w:val="auto"/>
          <w:szCs w:val="24"/>
          <w:lang w:val="fr-FR" w:eastAsia="fr-FR"/>
        </w:rPr>
        <w:footnoteReference w:id="3"/>
      </w:r>
      <w:r>
        <w:rPr>
          <w:rFonts w:eastAsia="Times New Roman" w:cs="Times New Roman" w:ascii="Times New Roman" w:hAnsi="Times New Roman"/>
          <w:color w:val="auto"/>
          <w:szCs w:val="24"/>
          <w:lang w:val="fr-FR" w:eastAsia="fr-FR"/>
        </w:rPr>
        <w:t xml:space="preserve"> La deuxième, portée par le général Carsten Breuer, explicite la portée du changement : « La stratégie militaire repose sur l’idée que l’Allemagne, en tant que première économie européenne, doit et va assumer un rôle de premier plan au sein de l’OTAN, y compris sur le plan militaire […]. Elle marque un changement de paradigme et sous-tend notre ambition de jouer un rôle moteur. »</w:t>
      </w:r>
      <w:r>
        <w:rPr>
          <w:rStyle w:val="FootnoteReference"/>
          <w:rFonts w:eastAsia="Times New Roman" w:cs="Times New Roman" w:ascii="Times New Roman" w:hAnsi="Times New Roman"/>
          <w:color w:val="auto"/>
          <w:szCs w:val="24"/>
          <w:lang w:val="fr-FR" w:eastAsia="fr-FR"/>
        </w:rPr>
        <w:footnoteReference w:id="4"/>
      </w:r>
      <w:r>
        <w:rPr>
          <w:rFonts w:eastAsia="Times New Roman" w:cs="Times New Roman" w:ascii="Times New Roman" w:hAnsi="Times New Roman"/>
          <w:color w:val="auto"/>
          <w:szCs w:val="24"/>
          <w:lang w:val="fr-FR" w:eastAsia="fr-FR"/>
        </w:rPr>
        <w:t xml:space="preserve"> La troisième précise la traduction géostratégique de cette ambition : depuis le cœur de l’Europe, l’Allemagne entend renforcer la cohésion entre l’Europe orientale, centrale et occidentale, préserver les liens avec l’Amérique du Nord et devenir un « partenaire militaire de référence »</w:t>
      </w:r>
      <w:r>
        <w:rPr>
          <w:rStyle w:val="FootnoteReference"/>
          <w:rFonts w:eastAsia="Times New Roman" w:cs="Times New Roman" w:ascii="Times New Roman" w:hAnsi="Times New Roman"/>
          <w:color w:val="auto"/>
          <w:szCs w:val="24"/>
          <w:lang w:val="fr-FR" w:eastAsia="fr-FR"/>
        </w:rPr>
        <w:footnoteReference w:id="5"/>
      </w:r>
      <w:r>
        <w:rPr>
          <w:rFonts w:eastAsia="Times New Roman" w:cs="Times New Roman" w:ascii="Times New Roman" w:hAnsi="Times New Roman"/>
          <w:color w:val="auto"/>
          <w:szCs w:val="24"/>
          <w:lang w:val="fr-FR" w:eastAsia="fr-FR"/>
        </w:rPr>
        <w:t xml:space="preserve"> pour ses alliés européens. </w:t>
      </w:r>
    </w:p>
    <w:p>
      <w:pPr>
        <w:pStyle w:val="Normal"/>
        <w:numPr>
          <w:ilvl w:val="0"/>
          <w:numId w:val="0"/>
        </w:numPr>
        <w:pBdr>
          <w:top w:val="single" w:sz="24" w:space="8" w:color="000000" w:shadow="1"/>
          <w:left w:val="single" w:sz="24" w:space="8" w:color="000000" w:shadow="1"/>
          <w:bottom w:val="single" w:sz="24" w:space="12" w:color="000000" w:shadow="1"/>
          <w:right w:val="single" w:sz="24" w:space="12" w:color="000000" w:shadow="1"/>
        </w:pBdr>
        <w:spacing w:lineRule="auto" w:line="240"/>
        <w:ind w:start="709" w:end="850"/>
        <w:outlineLvl w:val="1"/>
        <w:rPr>
          <w:rFonts w:ascii="Times New Roman" w:hAnsi="Times New Roman" w:cs="Times New Roman"/>
          <w:lang w:val="fr-FR"/>
        </w:rPr>
      </w:pPr>
      <w:r>
        <w:rPr>
          <w:rFonts w:cs="Times New Roman" w:ascii="Times New Roman" w:hAnsi="Times New Roman"/>
          <w:lang w:val="fr-FR"/>
        </w:rPr>
        <w:t>Sans établir de parallèles historiques abusifs, l’histoire géopolitique de l’Allemagne invite toutefois à prendre au sérieux toute inflexion majeure de sa posture militaire. Par-delà la volonté affichée de se doter d’une armée conventionnelle capable de contribuer à une dissuasion efficace face à la Russie, l’observateur averti ne peut manquer de s’interroger sur une ambition plus large : placer Berlin au cœur de l’élaboration, de la mise en œuvre et, le cas échéant, de la conduite opérationnelle d’une architecture européenne de défense, notamment si « l’ami américain » venait à réduire sa présence ou son engagement.</w:t>
      </w:r>
    </w:p>
    <w:p>
      <w:pPr>
        <w:pStyle w:val="Normal"/>
        <w:numPr>
          <w:ilvl w:val="0"/>
          <w:numId w:val="0"/>
        </w:numPr>
        <w:spacing w:lineRule="auto" w:line="240" w:before="360" w:after="120"/>
        <w:ind w:firstLine="426" w:start="0"/>
        <w:outlineLvl w:val="1"/>
        <w:rPr>
          <w:lang w:val="fr-FR"/>
        </w:rPr>
      </w:pPr>
      <w:r>
        <w:rPr>
          <w:rFonts w:cs="Times New Roman" w:ascii="Times New Roman" w:hAnsi="Times New Roman"/>
          <w:lang w:val="fr-FR"/>
        </w:rPr>
        <w:t>Après avoir montré que cette nouvelle boussole stratégique prend sa source dans l’évaluation de la menace russe par les rédacteurs allemands, nous verrons comment ceux-ci passent de l’affirmation d’une nécessité défensive à la revendication d’un rôle moteur dans la conception et la mise en œuvre de l’architecture européenne de sécurité et de défense. Dans un troisième temps, nous montrerons que, dans la logique allemande, l’Europe de la défense continue d’être pensée dans le cadre de l’OTAN, et non comme une autonomie stratégique européenne. Enfin, avant de conclure, nous nous interrogerons sur le silence du texte concernant la coopération militaro-industrielle européenne</w:t>
      </w:r>
      <w:r>
        <w:rPr>
          <w:lang w:val="fr-FR"/>
        </w:rPr>
        <w:t>.</w:t>
      </w:r>
    </w:p>
    <w:p>
      <w:pPr>
        <w:pStyle w:val="Normal"/>
        <w:numPr>
          <w:ilvl w:val="0"/>
          <w:numId w:val="0"/>
        </w:numPr>
        <w:spacing w:lineRule="auto" w:line="240"/>
        <w:ind w:start="0"/>
        <w:outlineLvl w:val="1"/>
        <w:rPr>
          <w:rStyle w:val="Titre2Car"/>
          <w:lang w:val="fr-FR" w:eastAsia="fr-FR"/>
        </w:rPr>
      </w:pPr>
      <w:r>
        <w:rPr>
          <w:rStyle w:val="Titre2Car"/>
          <w:lang w:val="fr-FR" w:eastAsia="fr-FR"/>
        </w:rPr>
        <w:t>I. Un réarmement présenté comme réponse à la menace russe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Le premier niveau de lecture du document est celui de la menace. La Russie y est désignée comme l’adversaire structurant comme le montre le champ lexical employé. La Russie est qualifiée de « révisionniste », « hostile », « agressive » ; on lui attribue des actions telles que « sabotage », « désinformation », « attaques hybrides ». La guerre d’Ukraine y est interprétée comme la preuve que la guerre de haute intensité est redevenue possible en Europe, que la force militaire redevient un instrument de politique internationale, et que les Européens doivent se préparer non seulement à la crise, mais à la guerre.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analyse conduit Berlin à redéfinir la mission principale de la Bundeswehr. L’armée allemande ne doit plus être pensée d’abord comme un outil de stabilisation, d’intervention extérieure limitée ou de contribution multinationale ponctuelle. Elle doit redevenir un instrument de défense nationale et de défense de l’Alliance. Cette inflexion est majeure pour un pays dont la culture stratégique est restée longtemps marquée par la retenue, la prudence et la méfiance à l’égard de toute affirmation militaire trop visible.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Dans cette perspective, la volonté de faire de la Bundeswehr « l’armée conventionnelle la plus puissante d’Europe »</w:t>
      </w:r>
      <w:r>
        <w:rPr>
          <w:rStyle w:val="FootnoteReference"/>
          <w:rFonts w:eastAsia="Times New Roman" w:cs="Times New Roman" w:ascii="Times New Roman" w:hAnsi="Times New Roman"/>
          <w:color w:val="auto"/>
          <w:szCs w:val="24"/>
          <w:lang w:val="fr-FR" w:eastAsia="fr-FR"/>
        </w:rPr>
        <w:footnoteReference w:id="6"/>
      </w:r>
      <w:r>
        <w:rPr>
          <w:rFonts w:eastAsia="Times New Roman" w:cs="Times New Roman" w:ascii="Times New Roman" w:hAnsi="Times New Roman"/>
          <w:color w:val="auto"/>
          <w:szCs w:val="24"/>
          <w:lang w:val="fr-FR" w:eastAsia="fr-FR"/>
        </w:rPr>
        <w:t xml:space="preserve"> apparaît comme la réponse militaire à une menace clairement identifiée. L’Allemagne entend disposer de forces nombreuses, mieux équipées, mieux entraînées, capables de se déployer rapidement, de durer dans un conflit de haute intensité et de soutenir l’effort collectif de l’OTAN. Le document évoque un horizon de montée en puissance à long terme, avec un objectif final autour de 2039, mais aussi des étapes plus rapprochées destinées à restaurer rapidement la capacité opérationnelle des forces.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dissuasion dont il est ici question est donc d’abord une dissuasion conventionnelle. Il ne s’agit pas, pour l’Allemagne, de disposer d’une force nucléaire nationale, mais de rendre toute agression contre l’espace euro-atlantique suffisamment coûteuse pour être découragée. Cette dissuasion repose sur la masse, la disponibilité, la défense aérienne et antimissile, la frappe de précision à longue portée, la supériorité informationnelle, les drones, le cyber, le spatial, la logistique, les stocks, les réserves et la résilience de la société.</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Le texte tire manifestement les leçons de la guerre en Ukraine. Il insiste sur l’effacement des frontières entre civil et militaire, sur la transparence du champ de bataille, sur la centralité des données, sur la nécessité de combiner masse et technologie, sur la vulnérabilité des infrastructures et sur l’importance des capacités de production en temps de guerre. La Bundeswehr n’est plus pensée comme une simple force militaire, mais comme un système complet qui articule l’armée, l’État, l’industrie, les infrastructures, la société et les alliances.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transformation est donc cohérente avec le diagnostic de menace. À ce stade, elle peut être présentée comme défensive : l’Allemagne se réarme parce qu’elle considère que la Russie menace l’ordre de sécurité européen, que les États européens ont trop longtemps dépendu des États-Unis, et que l’OTAN ne peut rester crédible que si les Européens assument davantage leur propre sécurité.</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Mais c’est précisément à ce point que l’analyse doit passer du niveau militaire au niveau politique.</w:t>
      </w:r>
    </w:p>
    <w:p>
      <w:pPr>
        <w:pStyle w:val="Heading2"/>
        <w:ind w:start="0"/>
        <w:rPr>
          <w:rFonts w:eastAsia="Times New Roman"/>
          <w:lang w:val="fr-FR" w:eastAsia="fr-FR"/>
        </w:rPr>
      </w:pPr>
      <w:r>
        <w:rPr>
          <w:rFonts w:eastAsia="Times New Roman"/>
          <w:lang w:val="fr-FR" w:eastAsia="fr-FR"/>
        </w:rPr>
        <w:t>II. De la contribution à la direction : l’affirmation d’un nouveau statut allemand</w:t>
      </w:r>
    </w:p>
    <w:p>
      <w:pPr>
        <w:pStyle w:val="Normal"/>
        <w:spacing w:lineRule="auto" w:line="240"/>
        <w:ind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Le document ne se contente pas de dire que l’Allemagne doit contribuer davantage. Il affirme qu’elle doit assumer un rôle de premier plan. Ce glissement est décisif. Il est mis en exergue par le vocabulaire employé par les rédacteurs. Le terme « responsabilité » revient en association avec les vocables « stratégique », « conventionnelle », « pour l’Europe ». Le mot devient un euphémisme de puissance, masquant la revendication de direction sous le vocabulaire de la solidarité. Les verbes d’obligation comme : « doit », « nécessite », « exige » se répètent à l’envi dans le texte, transformant le choix politique en nécessité objective.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L’Allemagne ne se présente plus seulement comme un allié qui augmente son effort budgétaire ou comble ses lacunes capacitaires. Elle se présente comme la première économie européenne qui doit désormais transformer son poids économique en poids stratégique et militaire. C’est tout le sens de la citation du général Carsten Breuer : l’Allemagne « doit et va assumer un rôle de premier plan au sein de l’OTAN, y compris sur le plan militaire », et cette orientation « marque un changement de paradigme ».</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formule est lourde de sens. Elle signifie que Berlin assume désormais ce que l’après-guerre avait longtemps rendu politiquement délicat : la possibilité pour l’Allemagne d’exercer un rôle militaire moteur en Europe. Certes, ce rôle d’impulsion demeure strictement inscrit dans le cadre de l’OTAN. Il ne se présente ni comme nationaliste, ni comme solitaire, ni comme hégémonique. Il est formulé dans le langage de la responsabilité, de la solidarité, de la défense collective et de l’interopérabilité. Mais il n’en demeure pas moins une revendication de centralité.</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centralité est géographique, d’abord. L’Allemagne se situe au cœur de l’Europe. Elle peut se présenter comme le lien naturel entre l’Europe occidentale, l’Europe centrale et l’Europe orientale. Elle est à la fois arrière stratégique, plateforme logistique, puissance industrielle, nœud ferroviaire et routier, zone de transit des forces alliées vers le flanc Est, et base opérationnelle potentielle pour les plans de défense de l’OTAN.</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Elle est aussi capacitaire. Le document insiste sur la défense antimissile territoriale, les frappes de précision dans la profondeur, le commandement national, les opérations multidomaines, le cloud, les communications résilientes, la numérisation, les systèmes autonomes et l’intelligence artificielle. Autrement dit, l’Allemagne ne veut pas seulement fournir des brigades ; elle veut maîtriser les fonctions structurantes de la guerre moderne.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 xml:space="preserve">Elle est enfin politique. En déclarant vouloir devenir un </w:t>
      </w:r>
      <w:r>
        <w:rPr>
          <w:rFonts w:eastAsia="Times New Roman" w:cs="Times New Roman" w:ascii="Times New Roman" w:hAnsi="Times New Roman"/>
          <w:b/>
          <w:bCs/>
          <w:color w:val="auto"/>
          <w:szCs w:val="24"/>
          <w:lang w:val="fr-FR" w:eastAsia="fr-FR"/>
        </w:rPr>
        <w:t>« partenaire militaire de référence</w:t>
      </w:r>
      <w:r>
        <w:rPr>
          <w:rFonts w:eastAsia="Times New Roman" w:cs="Times New Roman" w:ascii="Times New Roman" w:hAnsi="Times New Roman"/>
          <w:color w:val="auto"/>
          <w:szCs w:val="24"/>
          <w:lang w:val="fr-FR" w:eastAsia="fr-FR"/>
        </w:rPr>
        <w:t> » pour ses alliés européens, Berlin ne se contente pas d’annoncer une amélioration de sa contribution militaire. Il se place en position d’organisateur, de coordinateur et de garant conventionnel de la capacité d’action européenne.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C’est ici que l’hypothèse d’un retrait ou d’un moindre engagement américain devient centrale. Le document ne rompt pas avec les États-Unis. Au contraire, il insiste sur la nécessité de préserver les liens avec l’Amérique du Nord. Mais il prend acte du fait que Washington regarde de plus en plus vers l’Indo-Pacifique et que les Européens doivent assumer une plus grande part de la sécurité euro-atlantique. L’Allemagne semble donc vouloir se placer dans une position intermédiaire : rester fidèle à l’OTAN, rassurer Washington, mais devenir le principal relais européen si les États-Unis réduisent leur présence ou leur disponibilité.</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En d’autres termes, l’Allemagne ne cherche pas à supplanter les États-Unis, mais plutôt à devenir incontournable en cas de retrait ou de refus de ces derniers de participer à la défense conventionnelle de l’Europe.</w:t>
      </w:r>
    </w:p>
    <w:p>
      <w:pPr>
        <w:pStyle w:val="Heading2"/>
        <w:ind w:hanging="426" w:start="426"/>
        <w:rPr>
          <w:rFonts w:eastAsia="Times New Roman"/>
          <w:lang w:val="fr-FR" w:eastAsia="fr-FR"/>
        </w:rPr>
      </w:pPr>
      <w:r>
        <w:rPr>
          <w:rFonts w:eastAsia="Times New Roman"/>
          <w:lang w:val="fr-FR" w:eastAsia="fr-FR"/>
        </w:rPr>
        <w:t>III. Une défense européenne pensée dans l’OTAN, le pilier européen sous impulsion allemande</w:t>
      </w:r>
    </w:p>
    <w:p>
      <w:pPr>
        <w:pStyle w:val="Heading3"/>
        <w:rPr>
          <w:lang w:val="fr-FR" w:eastAsia="fr-FR"/>
        </w:rPr>
      </w:pPr>
      <w:r>
        <w:rPr>
          <w:lang w:val="fr-FR" w:eastAsia="fr-FR"/>
        </w:rPr>
        <w:t>La volonté affichée de diriger une OTAN en cas de défaut étatsunien.</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L’un des éléments les plus révélateurs du document est l’usage récurrent du terme « Alliance ». Dans le langage stratégique allemand, ce mot renvoie d’abord à l’OTAN. L’Europe y est très présente, mais elle n’est pas pensée comme une entité stratégique autonome. Elle est pensée comme le pilier européen renforcé d’une Alliance atlantique qui doit rester transatlantique.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nuance est essentielle. Le projet allemand ne cherche pas à forger une « Europe puissance » au sens français du terme. Il ne repose pas sur l’idée d’une souveraineté stratégique européenne capable, si nécessaire, de décider et d’agir indépendamment des États-Unis. Il repose plutôt sur une européanisation de l’OTAN : les Européens doivent devenir militairement plus forts pour que l’Alliance demeure crédible, même si l’engagement américain devient plus sélectif.</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Cela explique la place particulière accordée aux États-Unis. Ils restent essentiels, mais leur disponibilité n’est plus considérée comme illimitée. L’Allemagne se prépare donc à assumer davantage de responsabilités, non pour affranchir l’Europe de l’OTAN, mais pour préserver l’OTAN en la rendant moins dépendante de l’effort américain.</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orientation entre en tension avec la tradition française. Depuis le général de Gaulle, la France pense sa sécurité à partir de l’autonomie de décision, de la souveraineté nationale, de la dissuasion nucléaire indépendante et d’une certaine liberté d’appréciation stratégique. Même lorsque Paris agit dans l’OTAN ou avec l’Union européenne, il conserve cette culture de l’indépendance stratégique. Berlin, à l’inverse, raisonne d’abord en matière d’interopérabilité, de planification alliée, d’objectifs capacitaires OTAN et de contribution à la défense collective.</w:t>
      </w:r>
    </w:p>
    <w:p>
      <w:pPr>
        <w:pStyle w:val="Heading3"/>
        <w:rPr>
          <w:rFonts w:eastAsia="Times New Roman"/>
          <w:lang w:val="fr-FR" w:eastAsia="fr-FR"/>
        </w:rPr>
      </w:pPr>
      <w:r>
        <w:rPr>
          <w:rFonts w:eastAsia="Times New Roman"/>
          <w:lang w:val="fr-FR" w:eastAsia="fr-FR"/>
        </w:rPr>
        <w:t>Des partenaires majeurs jamais nommés.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différence n’est pas seulement théorique. Elle produit des effets concrets. Dans le document, les grandes puissances européennes ne sont pas individualisées comme partenaires stratégiques majeurs. La France, le Royaume-Uni, la Pologne ne sont pas placés au centre de l’analyse comme partenaires-architectes d’une future défense européenne. Ils sont absorbés dans les catégories générales d’alliés et de partenaires.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absence est politiquement significative. La France et le Royaume-Uni sont pourtant les deux puissances nucléaires européennes. La Pologne prétend devenir l’une des premières armées conventionnelles du continent. La France conserve une base industrielle et technologique de défense, une expérience opérationnelle et une culture stratégique spécifiques. Mais le document ne construit pas son raisonnement autour d’un directoire européen composé de ces puissances. Il construit le raisonnement autour du nouveau rôle allemand dans l’Alliance.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omission peut être interprétée de deux manières. La première, bienveillante, y verra le souci de ne pas hiérarchiser les partenaires européens et de rester dans une logique collective. La seconde, plus critique, y verra au contraire un moyen de ne pas reconnaître explicitement les autres centres de puissance européens, afin de laisser l’Allemagne occuper la position centrale sans ouvrir le débat sur le partage réel de la direction de conception, de la planification et de la conduite des opérations.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question nucléaire renforce cette ambiguïté. L’Allemagne ne possède pas l’arme nucléaire. Elle participe en revanche au dispositif de partage nucléaire de l’OTAN, notamment par l’acquisition du F-35. Elle reste donc dépendante de la garantie américaine pour la dissuasion ultime. Dans le même temps, les discussions franco-allemandes sur la dissuasion française ouvrent une zone de flou : Berlin cherche-t-il seulement à mieux comprendre la doctrine française ? À compléter la garantie américaine ? À intégrer la dimension nucléaire française dans une architecture européenne plus large sans reconnaître une primauté stratégique française ?</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Le document ne répond pas directement. Mais il permet de comprendre que l’Allemagne veut articuler trois niveaux : une dissuasion conventionnelle allemande renforcée ; une garantie nucléaire américaine maintenue ; et un dialogue avec la France sur la dimension nucléaire européenne. Dans cette combinaison, Paris demeure utile, mais non central dans la conduite conventionnelle de l’ensemble.</w:t>
      </w:r>
    </w:p>
    <w:p>
      <w:pPr>
        <w:pStyle w:val="Heading3"/>
        <w:spacing w:before="0" w:after="120"/>
        <w:rPr>
          <w:rFonts w:eastAsia="Times New Roman"/>
          <w:lang w:val="fr-FR" w:eastAsia="fr-FR"/>
        </w:rPr>
      </w:pPr>
      <w:r>
        <w:rPr>
          <w:rFonts w:eastAsia="Times New Roman"/>
          <w:lang w:val="fr-FR" w:eastAsia="fr-FR"/>
        </w:rPr>
        <w:t>La capacité navale reste un angle mort stratégique</w:t>
      </w:r>
    </w:p>
    <w:p>
      <w:pPr>
        <w:pStyle w:val="Normal"/>
        <w:spacing w:lineRule="auto" w:line="240"/>
        <w:ind w:firstLine="426" w:start="0"/>
        <w:rPr>
          <w:rFonts w:ascii="Times New Roman" w:hAnsi="Times New Roman" w:cs="Times New Roman"/>
          <w:lang w:val="fr-FR"/>
        </w:rPr>
      </w:pPr>
      <w:r>
        <w:rPr>
          <w:rFonts w:eastAsia="Times New Roman" w:cs="Times New Roman" w:ascii="Times New Roman" w:hAnsi="Times New Roman"/>
          <w:color w:val="auto"/>
          <w:szCs w:val="24"/>
          <w:lang w:val="fr-FR" w:eastAsia="fr-FR"/>
        </w:rPr>
        <w:t>Le texte évoque la « protection des voies de communication maritimes » et fait référence à l’Indo</w:t>
        <w:noBreakHyphen/>
        <w:t>Pacifique pour souligner l’importance des ambitions de Moscou : « </w:t>
      </w:r>
      <w:r>
        <w:rPr>
          <w:rFonts w:cs="Times New Roman" w:ascii="Times New Roman" w:hAnsi="Times New Roman"/>
          <w:lang w:val="fr-FR"/>
        </w:rPr>
        <w:t>Dans la région Indo-Pacifique également, la flotte russe du Pacifique, appuyée par des forces aériennes et spatiales ainsi que par des troupes de missiles stratégiques, assure les revendications de Moscou. »</w:t>
      </w:r>
      <w:r>
        <w:rPr>
          <w:rStyle w:val="FootnoteReference"/>
          <w:rFonts w:cs="Times New Roman" w:ascii="Times New Roman" w:hAnsi="Times New Roman"/>
          <w:lang w:val="fr-FR"/>
        </w:rPr>
        <w:footnoteReference w:id="7"/>
      </w:r>
      <w:r>
        <w:rPr>
          <w:rFonts w:cs="Times New Roman" w:ascii="Times New Roman" w:hAnsi="Times New Roman"/>
          <w:lang w:val="fr-FR"/>
        </w:rPr>
        <w:t xml:space="preserve"> Parallèlement, la Russie s’intéresse à créer un scénario de dilemmes multiples dans cette région et à immobiliser les forces américaines dans l’Indo-Pacifique. Curieusement, alors que toutes les autres capacités font l’objet de développements importants, les rédacteurs ne proposent aucune augmentation capacitaire dans ce domaine.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Nulle part dans le texte, la question de la projection navale et la nécessité de renforcer le pilier maritime de la défense européenne ne sont évoquées. L’Allemagne compterait-elle implicitement sur les capacités d’alliés qu’elle ignore superbement par ailleurs ? En effet, la France dispose du </w:t>
      </w:r>
      <w:r>
        <w:rPr>
          <w:rFonts w:eastAsia="Times New Roman" w:cs="Times New Roman" w:ascii="Times New Roman" w:hAnsi="Times New Roman"/>
          <w:i/>
          <w:iCs/>
          <w:color w:val="auto"/>
          <w:szCs w:val="24"/>
          <w:lang w:val="fr-FR" w:eastAsia="fr-FR"/>
        </w:rPr>
        <w:t>Charles de Gaulle</w:t>
      </w:r>
      <w:r>
        <w:rPr>
          <w:rFonts w:eastAsia="Times New Roman" w:cs="Times New Roman" w:ascii="Times New Roman" w:hAnsi="Times New Roman"/>
          <w:color w:val="auto"/>
          <w:szCs w:val="24"/>
          <w:lang w:val="fr-FR" w:eastAsia="fr-FR"/>
        </w:rPr>
        <w:t>, le Royaume</w:t>
        <w:noBreakHyphen/>
        <w:t>Uni de deux porte</w:t>
        <w:noBreakHyphen/>
        <w:t>avions de classe </w:t>
      </w:r>
      <w:r>
        <w:rPr>
          <w:rFonts w:eastAsia="Times New Roman" w:cs="Times New Roman" w:ascii="Times New Roman" w:hAnsi="Times New Roman"/>
          <w:i/>
          <w:iCs/>
          <w:color w:val="auto"/>
          <w:szCs w:val="24"/>
          <w:lang w:val="fr-FR" w:eastAsia="fr-FR"/>
        </w:rPr>
        <w:t>Queen Elizabeth</w:t>
      </w:r>
      <w:r>
        <w:rPr>
          <w:rFonts w:eastAsia="Times New Roman" w:cs="Times New Roman" w:ascii="Times New Roman" w:hAnsi="Times New Roman"/>
          <w:color w:val="auto"/>
          <w:szCs w:val="24"/>
          <w:lang w:val="fr-FR" w:eastAsia="fr-FR"/>
        </w:rPr>
        <w:t>. L’Italie, quant à elle, peut assurer une présence en Méditerranée. En cas de nécessité, ces ressources se révèleraient manifestement insuffisantes, mais l’Allemagne ne semble pas envisager de les combler. Or, la montée en puissance de la Russie et les ambitions chinoises dans cette zone imposeraient une capacité européenne de projection hauturière, et, à tout le moins, un nouveau porte-avion sous bannière européenne.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absence de réflexion révèle une perception principalement européenne du leadership de l’Allemagne. Elle semble également témoigner d’une dépendance accrue à l’égard de la protection militaire américaine pour les opérations navales.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 xml:space="preserve"> </w:t>
      </w:r>
    </w:p>
    <w:p>
      <w:pPr>
        <w:pStyle w:val="Normal"/>
        <w:spacing w:lineRule="auto" w:line="278" w:before="0" w:after="160"/>
        <w:ind w:start="0"/>
        <w:jc w:val="start"/>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r>
      <w:r>
        <w:br w:type="page"/>
      </w:r>
    </w:p>
    <w:p>
      <w:pPr>
        <w:pStyle w:val="Heading2"/>
        <w:spacing w:before="0" w:after="80"/>
        <w:ind w:start="0"/>
        <w:rPr>
          <w:rFonts w:eastAsia="Times New Roman"/>
          <w:lang w:val="fr-FR" w:eastAsia="fr-FR"/>
        </w:rPr>
      </w:pPr>
      <w:r>
        <w:rPr>
          <w:rFonts w:eastAsia="Times New Roman"/>
          <w:lang w:val="fr-FR" w:eastAsia="fr-FR"/>
        </w:rPr>
        <w:t>IV. Le silence industriel : l’Europe invoquée, mais peu construite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Un autre élément mérite une attention particulière : le silence relatif sur la coopération militaro-industrielle européenne. Le document parle beaucoup de capacités, d’innovation, de technologies, de numérisation, de défense aérienne, de frappes de longue portée et de supériorité technologique. Mais il ne fait pas de la coopération industrielle européenne un principe directeur.</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 silence est d’autant plus frappant que les grands programmes européens apparaissent fragilisés. Le document lui-même mentionne l’incertitude entourant le SCAF, projet emblématique annoncé en 2017 par Emmanuel Macron et Angela Merkel, et dont l’abandon possible serait un signal politique majeur. Si le programme phare de l’aviation de combat future devait échouer, il deviendrait difficile de parler d’une véritable convergence stratégique et industrielle franco-allemande.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Le cas du bouclier aérien européen est tout aussi révélateur. L’initiative allemande repose sur une architecture combinant notamment l’IRIS-T allemand, le Patriot américain et l’Arrow 3 israélien. Le document rappelle que la France a critiqué l’exclusion de la solution franco-italienne SAMP/T, pourtant l’un des principaux systèmes européens de défense sol-air. Ce choix traduit une logique d’acquisition rapide de capacités disponibles et compatibles avec l’OTAN, plutôt qu’une logique de conception commune européenne.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On peut comprendre l’argument allemand : face à la menace, il faut aller vite ; il faut acheter ce qui existe ; il faut combler les lacunes opérationnelles avant de concevoir des systèmes qui n’arriveront qu’à long terme. Mais cette logique a un coût stratégique. Elle renforce la dépendance à des systèmes américains ou israéliens, marginalise certaines offres européennes, affaiblit l’idée d’une base industrielle commune, et nourrit le sentiment que Berlin invoque l’Europe lorsqu’il s’agit de responsabilité, mais privilégie ses propres priorités lorsqu’il s’agit de capacités.</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C’est ici que l’ambiguïté allemande apparaît avec le plus de netteté. L’Allemagne parle de responsabilité envers l’Europe, mais le document est d’abord structuré autour des besoins de la Bundeswehr, des objectifs nationaux allemands et des objectifs de capacités de l’OTAN. L’Europe est l’espace de responsabilité ; l’OTAN est le cadre opérationnel ; l’Allemagne est le moteur conventionnel ; mais la coopération industrielle européenne n’apparaît pas comme le socle de cette architecture.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Cette orientation ne peut qu’interroger Paris. La France risque d’être marginalisée non par hostilité directe, mais par contournement progressif. Elle n’est pas désignée comme adversaire ni même comme concurrente. Bien qu’elle soit peu connue et rarement citée comme architecte associée, elle est parfois ignorée lors des prises de décision. Ce manque de reconnaissance pourrait mener à une fragmentation : la France conserverait la dissuasion nucléaire, la diplomatie stratégique et quelques compétences nationales ; l’Allemagne, quant à elle, garderait l’organisation conventionnelle, logistique, capacitaire et industrielle du volet européen de l’OTAN.</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La Pologne, de son côté, constitue un autre contrepoids. Elle aussi, aspire à devenir une puissance militaire conventionnelle majeure. Elle peut devenir le glaive terrestre du flanc Est, doté d’une forte légitimité stratégique face à la menace russe. Mais l’ambition allemande est d’une autre nature. La Pologne veut la masse et la crédibilité de première ligne. L’Allemagne veut le centre : le commandement, la logistique, l’intégration, la cohésion entre les régions européennes, le lien avec l’Amérique du Nord et la référence capacitaire.</w:t>
      </w:r>
    </w:p>
    <w:p>
      <w:pPr>
        <w:pStyle w:val="Normal"/>
        <w:spacing w:lineRule="auto" w:line="240"/>
        <w:ind w:firstLine="426" w:start="0"/>
        <w:rPr>
          <w:rFonts w:ascii="Times New Roman" w:hAnsi="Times New Roman" w:eastAsia="Times New Roman" w:cs="Times New Roman"/>
          <w:color w:val="auto"/>
          <w:szCs w:val="24"/>
          <w:lang w:val="fr-FR" w:eastAsia="fr-FR"/>
        </w:rPr>
      </w:pPr>
      <w:r>
        <w:rPr>
          <w:rFonts w:eastAsia="Times New Roman" w:cs="Times New Roman" w:ascii="Times New Roman" w:hAnsi="Times New Roman"/>
          <w:color w:val="auto"/>
          <w:szCs w:val="24"/>
          <w:lang w:val="fr-FR" w:eastAsia="fr-FR"/>
        </w:rPr>
        <w:t>Ainsi, la future architecture européenne pourrait ne pas opposer simplement une Allemagne forte à une Pologne forte ou à une France marginalisée. Elle pourrait se structurer autour d’une division implicite des rôles : la Pologne comme puissance terrestre orientale ; la France comme puissance nucléaire et stratégique ; l’Allemagne comme organisateur conventionnel central. Mais dans un tel schéma, c’est bien Berlin qui pourrait prétendre à la conduite concrète de l’ensemble conventionnel européen.</w:t>
      </w:r>
    </w:p>
    <w:p>
      <w:pPr>
        <w:pStyle w:val="Heading2"/>
        <w:spacing w:lineRule="auto" w:line="240" w:before="0" w:after="120"/>
        <w:ind w:start="0"/>
        <w:rPr>
          <w:rFonts w:eastAsia="Times New Roman"/>
          <w:lang w:val="fr-FR" w:eastAsia="fr-FR"/>
        </w:rPr>
      </w:pPr>
      <w:r>
        <w:rPr>
          <w:rFonts w:eastAsia="Times New Roman"/>
          <w:lang w:val="fr-FR" w:eastAsia="fr-FR"/>
        </w:rPr>
        <w:t>Conclusion</w:t>
      </w:r>
    </w:p>
    <w:p>
      <w:pPr>
        <w:pStyle w:val="NormalWeb"/>
        <w:spacing w:beforeAutospacing="0" w:before="0" w:afterAutospacing="0" w:after="120"/>
        <w:ind w:firstLine="426" w:start="0"/>
        <w:jc w:val="both"/>
        <w:rPr/>
      </w:pPr>
      <w:r>
        <w:rPr/>
        <w:t>Ce document ne se contente donc pas d’acter le réveil militaire de l’Allemagne. Il ouvre un débat politique majeur : qui entend désormais définir, orienter, mettre en œuvre et, le cas échéant, conduire opérationnellement la défense conventionnelle de l’Europe ?</w:t>
      </w:r>
    </w:p>
    <w:p>
      <w:pPr>
        <w:pStyle w:val="NormalWeb"/>
        <w:spacing w:beforeAutospacing="0" w:before="0" w:afterAutospacing="0" w:after="120"/>
        <w:ind w:firstLine="426" w:start="0"/>
        <w:jc w:val="both"/>
        <w:rPr/>
      </w:pPr>
      <w:r>
        <w:rPr/>
        <w:t xml:space="preserve">Officiellement, Berlin affirme vouloir doter la Bundeswehr de la première armée conventionnelle du continent afin de rendre crédible la dissuasion face à une menace russe clairement identifiée. Mais les formules retenues — « rôle de premier plan », « changement de paradigme », « rôle moteur », « partenaire militaire de référence » — dépassent le simple registre capacitaire. Elles suggèrent une ambition plus vaste : placer l’Allemagne au centre de gravité de l’architecture européenne de sécurité, dans le cadre de l’OTAN, notamment si les États-Unis réduisaient leur présence ou limitaient leur engagement stratégique en Europe. </w:t>
      </w:r>
    </w:p>
    <w:p>
      <w:pPr>
        <w:pStyle w:val="NormalWeb"/>
        <w:spacing w:beforeAutospacing="0" w:before="0" w:afterAutospacing="0" w:after="120"/>
        <w:ind w:firstLine="426" w:start="0"/>
        <w:jc w:val="both"/>
        <w:rPr/>
      </w:pPr>
      <w:r>
        <w:rPr/>
        <w:t>Une question demeure dès lors essentielle : cette nouvelle boussole stratégique allemande a-t-elle été élaborée en concertation réelle avec les principaux partenaires européens et atlantiques, ou s’agit-il d’une stratégie nationale projetée sur l’ensemble du continent ? À la lecture du document, rien ne permet d’établir clairement que la France, le Royaume-Uni, la Pologne, l’Italie ou les autres alliés majeurs aient été associés à la définition de cette ambition. Or, ces États ne sauraient être réduits au rôle de partenaires secondaires dans une architecture de défense dont les priorités, les choix industriels et les modalités opérationnelles seraient principalement définis à Berlin.</w:t>
      </w:r>
    </w:p>
    <w:p>
      <w:pPr>
        <w:pStyle w:val="NormalWeb"/>
        <w:spacing w:beforeAutospacing="0" w:before="0" w:afterAutospacing="0" w:after="120"/>
        <w:ind w:firstLine="426" w:start="0"/>
        <w:jc w:val="both"/>
        <w:rPr/>
      </w:pPr>
      <w:r>
        <w:rPr/>
        <w:t xml:space="preserve">Cette interrogation est d’autant plus légitime que l’expérience opérationnelle récente de l’Allemagne demeure d’une nature différente de celle de plusieurs de ses partenaires. La Bundeswehr a certes participé à des opérations extérieures, dans les Balkans, en Afghanistan, au Sahel ou dans d’autres cadres multinationaux. Elle y a assumé des risques réels et payé un prix humain qu’il ne s’agit nullement de minimiser. Mais son engagement est longtemps resté plus encadré politiquement, plus contraint juridiquement, plus prudent dans l’exposition au combat direct que celui des forces britanniques, françaises, danoises, canadiennes ou polonaises. Les travaux consacrés aux </w:t>
      </w:r>
      <w:r>
        <w:rPr>
          <w:rStyle w:val="Emphasis"/>
          <w:rFonts w:eastAsia="" w:eastAsiaTheme="majorEastAsia"/>
        </w:rPr>
        <w:t>national caveats</w:t>
      </w:r>
      <w:r>
        <w:rPr/>
        <w:t xml:space="preserve"> de l’OTAN en Afghanistan ont ainsi souligné que certains contingents étaient soumis à des restrictions fortes, l’Allemagne étant décrite comme faisant face à des limitations « notoirement strictes », tandis que les auteurs observaient que, dans la coalition, « certains contingents en faisaient beaucoup plus que d’autres »</w:t>
      </w:r>
      <w:r>
        <w:rPr>
          <w:rStyle w:val="FootnoteReference"/>
        </w:rPr>
        <w:footnoteReference w:id="8"/>
      </w:r>
      <w:r>
        <w:rPr/>
        <w:t>¹.</w:t>
      </w:r>
    </w:p>
    <w:p>
      <w:pPr>
        <w:pStyle w:val="NormalWeb"/>
        <w:spacing w:beforeAutospacing="0" w:before="0" w:afterAutospacing="0" w:after="120"/>
        <w:ind w:firstLine="426" w:start="0"/>
        <w:jc w:val="both"/>
        <w:rPr/>
      </w:pPr>
      <w:r>
        <w:rPr/>
        <w:t>La présence permanente d’une brigade allemande en Lituanie constitue assurément un tournant symbolique et opérationnel. Mais elle ne suffit pas encore à lever toutes les interrogations : dans quelles conditions cette unité entrerait-elle effectivement en action en cas de crise majeure ? Qui déciderait de son emploi ? Avec quels délais politiques ? Dans quel cadre parlementaire ? Et avec quelle liberté opérationnelle réelle au regard des contraintes traditionnelles de la culture stratégique allemande ?</w:t>
      </w:r>
    </w:p>
    <w:p>
      <w:pPr>
        <w:pStyle w:val="NormalWeb"/>
        <w:spacing w:beforeAutospacing="0" w:before="0" w:afterAutospacing="0" w:after="120"/>
        <w:ind w:firstLine="426" w:start="0"/>
        <w:jc w:val="both"/>
        <w:rPr/>
      </w:pPr>
      <w:r>
        <w:rPr/>
        <w:t>Il reste enfin une question démocratique. En l’état des éléments accessibles, cette réorientation stratégique de grande ampleur ne semble pas avoir fait l’objet d’un débat public européen à la hauteur de ses implications. On ignore également dans quelle mesure la population allemande accepte durablement le passage d’une culture de retenue à une posture de puissance militaire directrice. Les partenaires européens entendent-ils avaliser sans discussion cette nouvelle prétention ? La Grande-Bretagne, la Pologne, l’Italie, la France accepteront-elles qu’une architecture de défense européenne soit progressivement structurée autour des priorités allemandes, sous couvert de responsabilité collective et de continuité transatlantique ? Pour être totalement juste, ce débat démocratique ne devrait d’ailleurs pas concerner la seule Allemagne, il devrait être mené aussi dans tous les États européens, à commencer par la France.</w:t>
      </w:r>
    </w:p>
    <w:p>
      <w:pPr>
        <w:pStyle w:val="NormalWeb"/>
        <w:spacing w:beforeAutospacing="0" w:before="0" w:afterAutospacing="0" w:after="120"/>
        <w:ind w:firstLine="426" w:start="0"/>
        <w:jc w:val="both"/>
        <w:rPr/>
      </w:pPr>
      <w:r>
        <w:rPr/>
        <w:t>L’enjeu n’est donc pas de contester à l’Allemagne le droit, ni même la nécessité, de se réarmer face à la menace russe. L’enjeu est de savoir si ce réarmement servira une architecture européenne équilibrée, concertée et politiquement codirigée, ou s’il consacrera une direction allemande de fait de la défense conventionnelle européenne. Derrière la montée en puissance annoncée de la Bundeswehr se profile ainsi une question décisive pour l’avenir du continent : l’Europe de la défense sera-t-elle construite par ses principales puissances militaires dans un cadre de codécision, ou organisée autour d’une Allemagne désormais décidée à transformer sa puissance économique en pouvoir de pilotage de la défense européenne ?</w:t>
      </w:r>
    </w:p>
    <w:p>
      <w:pPr>
        <w:pStyle w:val="NormalWeb"/>
        <w:spacing w:beforeAutospacing="0" w:before="0" w:afterAutospacing="0" w:after="120"/>
        <w:ind w:firstLine="426" w:start="0"/>
        <w:jc w:val="both"/>
        <w:rPr/>
      </w:pPr>
      <w:r>
        <w:rPr/>
        <w:t>Le général de Gaulle, conscient des mécanismes de pouvoir en Europe, mettait en garde : « L’Allemagne est un grand pays. Elle a été longtemps le plus grand pays d’Europe. Elle n’a pas renoncé à l’être de nouveau. »</w:t>
      </w:r>
      <w:r>
        <w:rPr>
          <w:rStyle w:val="FootnoteReference"/>
        </w:rPr>
        <w:footnoteReference w:id="9"/>
      </w:r>
      <w:r>
        <w:rPr/>
        <w:t xml:space="preserve"> Soixante ans plus tard, cette observation garde toute sa pertinence. L’équilibre européen ne repose pas sur la seule addition des forces ; il suppose la concertation, le contrepoids et le contrôle politique. Une Allemagne réarmée n’est pas une menace en soi ; elle le deviendrait seulement si son ascendant conventionnel s’exerçait sans codécision réelle, sans encadrement européen et sans contrepoids français crédible.</w:t>
      </w:r>
    </w:p>
    <w:p>
      <w:pPr>
        <w:pStyle w:val="NormalWeb"/>
        <w:spacing w:beforeAutospacing="0" w:before="0" w:afterAutospacing="0" w:after="120"/>
        <w:ind w:firstLine="426" w:start="0"/>
        <w:jc w:val="both"/>
        <w:rPr/>
      </w:pPr>
      <w:r>
        <w:rPr/>
      </w:r>
    </w:p>
    <w:p>
      <w:pPr>
        <w:pStyle w:val="NormalWeb"/>
        <w:spacing w:beforeAutospacing="0" w:before="0" w:afterAutospacing="0" w:after="120"/>
        <w:ind w:firstLine="426" w:start="0"/>
        <w:jc w:val="both"/>
        <w:rPr/>
      </w:pPr>
      <w:r>
        <w:rPr/>
      </w:r>
    </w:p>
    <w:p>
      <w:pPr>
        <w:pStyle w:val="NormalWeb"/>
        <w:spacing w:beforeAutospacing="0" w:before="0" w:afterAutospacing="0" w:after="120"/>
        <w:ind w:firstLine="426" w:start="0"/>
        <w:jc w:val="both"/>
        <w:rPr/>
      </w:pPr>
      <w:r>
        <w:rPr/>
      </w:r>
    </w:p>
    <w:p>
      <w:pPr>
        <w:pStyle w:val="NormalWeb"/>
        <w:spacing w:beforeAutospacing="0" w:before="0" w:afterAutospacing="0" w:after="120"/>
        <w:ind w:firstLine="426" w:start="0"/>
        <w:jc w:val="both"/>
        <w:rPr/>
      </w:pPr>
      <w:r>
        <w:rPr/>
      </w:r>
    </w:p>
    <w:p>
      <w:pPr>
        <w:pStyle w:val="NormalWeb"/>
        <w:spacing w:beforeAutospacing="0" w:before="0" w:afterAutospacing="0" w:after="120"/>
        <w:jc w:val="both"/>
        <w:rPr/>
      </w:pPr>
      <w:r>
        <w:rPr/>
        <w:t>Colonel (R) Jean-Jacques Bénomard</w:t>
      </w:r>
    </w:p>
    <w:p>
      <w:pPr>
        <w:pStyle w:val="NormalWeb"/>
        <w:spacing w:beforeAutospacing="0" w:before="0" w:afterAutospacing="0" w:after="120"/>
        <w:jc w:val="both"/>
        <w:rPr/>
      </w:pPr>
      <w:r>
        <w:rPr/>
        <w:t>Fontenay-le-Fleury, le 28 avril 2026</w:t>
      </w:r>
    </w:p>
    <w:sectPr>
      <w:headerReference w:type="default" r:id="rId9"/>
      <w:headerReference w:type="first" r:id="rId10"/>
      <w:footerReference w:type="even" r:id="rId11"/>
      <w:footerReference w:type="default" r:id="rId12"/>
      <w:footerReference w:type="first" r:id="rId13"/>
      <w:footnotePr>
        <w:numFmt w:val="decimal"/>
      </w:footnotePr>
      <w:type w:val="nextPage"/>
      <w:pgSz w:w="11906" w:h="16838"/>
      <w:pgMar w:left="1417" w:right="1417" w:gutter="0" w:header="708" w:top="1417" w:footer="708" w:bottom="1417"/>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ptos">
    <w:charset w:val="00" w:characterSet="windows-1252"/>
    <w:family w:val="roman"/>
    <w:pitch w:val="variable"/>
  </w:font>
  <w:font w:name="EB Garamond">
    <w:charset w:val="00" w:characterSet="windows-1252"/>
    <w:family w:val="roman"/>
    <w:pitch w:val="variable"/>
  </w:font>
  <w:font w:name="Aptos Display">
    <w:charset w:val="00" w:characterSet="windows-1252"/>
    <w:family w:val="roman"/>
    <w:pitch w:val="variable"/>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1859230520"/>
      <w:docPartObj>
        <w:docPartGallery w:val="Page Numbers (Bottom of Page)"/>
        <w:docPartUnique w:val="true"/>
      </w:docPartObj>
    </w:sdtPr>
    <w:sdtContent>
      <w:p>
        <w:pPr>
          <w:pStyle w:val="Footer"/>
          <w:jc w:val="end"/>
          <w:rPr/>
        </w:pPr>
        <w:r>
          <w:rPr/>
          <w:t xml:space="preserve">P. </w:t>
        </w:r>
        <w:r>
          <w:rPr/>
          <w:fldChar w:fldCharType="begin"/>
        </w:r>
        <w:r>
          <w:rPr/>
          <w:instrText xml:space="preserve"> PAGE </w:instrText>
        </w:r>
        <w:r>
          <w:rPr/>
          <w:fldChar w:fldCharType="separate"/>
        </w:r>
        <w:r>
          <w:rPr/>
          <w:t>0</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1859230520"/>
      <w:docPartObj>
        <w:docPartGallery w:val="Page Numbers (Bottom of Page)"/>
        <w:docPartUnique w:val="true"/>
      </w:docPartObj>
    </w:sdtPr>
    <w:sdtContent>
      <w:p>
        <w:pPr>
          <w:pStyle w:val="Footer"/>
          <w:jc w:val="end"/>
          <w:rPr/>
        </w:pPr>
        <w:r>
          <w:rPr/>
          <w:t xml:space="preserve">P. </w:t>
        </w:r>
        <w:r>
          <w:rPr/>
          <w:fldChar w:fldCharType="begin"/>
        </w:r>
        <w:r>
          <w:rPr/>
          <w:instrText xml:space="preserve"> PAGE </w:instrText>
        </w:r>
        <w:r>
          <w:rPr/>
          <w:fldChar w:fldCharType="separate"/>
        </w:r>
        <w:r>
          <w:rPr/>
          <w:t>9</w:t>
        </w:r>
        <w:r>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512421985"/>
      <w:docPartObj>
        <w:docPartGallery w:val="Page Numbers (Bottom of Page)"/>
        <w:docPartUnique w:val="true"/>
      </w:docPartObj>
    </w:sdtPr>
    <w:sdtContent>
      <w:p>
        <w:pPr>
          <w:pStyle w:val="Footer"/>
          <w:jc w:val="end"/>
          <w:rPr/>
        </w:pPr>
        <w:r>
          <w:rPr/>
          <w:t xml:space="preserve">P. </w:t>
        </w: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lang w:val="fr-FR"/>
        </w:rPr>
      </w:pPr>
      <w:r>
        <w:rPr>
          <w:rStyle w:val="FootnoteCharacters"/>
        </w:rPr>
        <w:footnoteRef/>
      </w:r>
      <w:r>
        <w:rPr>
          <w:lang w:val="fr-FR"/>
        </w:rPr>
        <w:t xml:space="preserve"> </w:t>
      </w:r>
      <w:r>
        <w:rPr>
          <w:rFonts w:eastAsia="Times New Roman" w:cs="Times New Roman" w:ascii="Times New Roman" w:hAnsi="Times New Roman"/>
          <w:color w:val="auto"/>
          <w:szCs w:val="24"/>
          <w:lang w:val="fr-FR" w:eastAsia="fr-FR"/>
        </w:rPr>
        <w:t xml:space="preserve">Alain Peyrefitte, </w:t>
      </w:r>
      <w:r>
        <w:rPr>
          <w:rFonts w:eastAsia="Times New Roman" w:cs="Times New Roman" w:ascii="Times New Roman" w:hAnsi="Times New Roman"/>
          <w:i/>
          <w:iCs/>
          <w:color w:val="auto"/>
          <w:szCs w:val="24"/>
          <w:lang w:val="fr-FR" w:eastAsia="fr-FR"/>
        </w:rPr>
        <w:t>C’était de Gaulle</w:t>
      </w:r>
      <w:r>
        <w:rPr>
          <w:rFonts w:eastAsia="Times New Roman" w:cs="Times New Roman" w:ascii="Times New Roman" w:hAnsi="Times New Roman"/>
          <w:color w:val="auto"/>
          <w:szCs w:val="24"/>
          <w:lang w:val="fr-FR" w:eastAsia="fr-FR"/>
        </w:rPr>
        <w:t>, t. I (Paris : Éditions de Fallois / Fayard, 1994). De Gaulle s’exprimait dans le contexte des négociations sur la Communauté européenne de défense (CED) et sur l’intégration de la RFA à l’OTAN au milieu des années 1950.</w:t>
      </w:r>
    </w:p>
  </w:footnote>
  <w:footnote w:id="3">
    <w:p>
      <w:pPr>
        <w:pStyle w:val="FootnoteText"/>
        <w:rPr>
          <w:rFonts w:ascii="Times New Roman" w:hAnsi="Times New Roman" w:cs="Times New Roman"/>
          <w:lang w:val="fr-FR"/>
        </w:rPr>
      </w:pPr>
      <w:r>
        <w:rPr>
          <w:rStyle w:val="FootnoteCharacters"/>
        </w:rPr>
        <w:footnoteRef/>
      </w:r>
      <w:r>
        <w:rPr>
          <w:rFonts w:cs="Times New Roman" w:ascii="Times New Roman" w:hAnsi="Times New Roman"/>
          <w:lang w:val="fr-FR"/>
        </w:rPr>
        <w:t xml:space="preserve"> </w:t>
      </w:r>
      <w:r>
        <w:rPr>
          <w:rFonts w:cs="Times New Roman" w:ascii="Times New Roman" w:hAnsi="Times New Roman"/>
          <w:lang w:val="fr-FR"/>
        </w:rPr>
        <w:t xml:space="preserve">Boris Pistorius, ministre fédéral de la Défense, déclaration du 7 novembre 2025, cité dans « Introduction », </w:t>
      </w:r>
      <w:r>
        <w:rPr>
          <w:rStyle w:val="Emphasis"/>
          <w:rFonts w:cs="Times New Roman" w:ascii="Times New Roman" w:hAnsi="Times New Roman"/>
          <w:lang w:val="fr-FR"/>
        </w:rPr>
        <w:t>Gesamtkonzeption der militärischen Verteidigung</w:t>
      </w:r>
      <w:r>
        <w:rPr>
          <w:rFonts w:cs="Times New Roman" w:ascii="Times New Roman" w:hAnsi="Times New Roman"/>
          <w:lang w:val="fr-FR"/>
        </w:rPr>
        <w:t xml:space="preserve">, trad. Stefanie Buzmaniuk, dans Pierre Mennerat, « La stratégie qui acte le réveil militaire de l’Allemagne : texte intégral », </w:t>
      </w:r>
      <w:r>
        <w:rPr>
          <w:rStyle w:val="Emphasis"/>
          <w:rFonts w:cs="Times New Roman" w:ascii="Times New Roman" w:hAnsi="Times New Roman"/>
          <w:lang w:val="fr-FR"/>
        </w:rPr>
        <w:t>Le Grand Continent</w:t>
      </w:r>
      <w:r>
        <w:rPr>
          <w:rFonts w:cs="Times New Roman" w:ascii="Times New Roman" w:hAnsi="Times New Roman"/>
          <w:lang w:val="fr-FR"/>
        </w:rPr>
        <w:t>, rubrique « Archives et discours / Europe », 22 avril 2026, p. 7.</w:t>
      </w:r>
    </w:p>
  </w:footnote>
  <w:footnote w:id="4">
    <w:p>
      <w:pPr>
        <w:pStyle w:val="FootnoteText"/>
        <w:rPr>
          <w:rFonts w:ascii="Times New Roman" w:hAnsi="Times New Roman" w:cs="Times New Roman"/>
          <w:lang w:val="fr-FR"/>
        </w:rPr>
      </w:pPr>
      <w:r>
        <w:rPr>
          <w:rStyle w:val="FootnoteCharacters"/>
        </w:rPr>
        <w:footnoteRef/>
      </w:r>
      <w:r>
        <w:rPr>
          <w:rFonts w:cs="Times New Roman" w:ascii="Times New Roman" w:hAnsi="Times New Roman"/>
          <w:lang w:val="fr-FR"/>
        </w:rPr>
        <w:t xml:space="preserve"> </w:t>
      </w:r>
      <w:r>
        <w:rPr>
          <w:rFonts w:cs="Times New Roman" w:ascii="Times New Roman" w:hAnsi="Times New Roman"/>
          <w:lang w:val="fr-FR"/>
        </w:rPr>
        <w:t xml:space="preserve">Général Carsten Breuer, inspecteur général de la Bundeswehr cité dans « Avant-Propos », </w:t>
      </w:r>
      <w:r>
        <w:rPr>
          <w:rStyle w:val="Emphasis"/>
          <w:rFonts w:cs="Times New Roman" w:ascii="Times New Roman" w:hAnsi="Times New Roman"/>
          <w:lang w:val="fr-FR"/>
        </w:rPr>
        <w:t>Gesamtkonzeption der militärischen Verteidigung</w:t>
      </w:r>
      <w:r>
        <w:rPr>
          <w:rFonts w:cs="Times New Roman" w:ascii="Times New Roman" w:hAnsi="Times New Roman"/>
          <w:lang w:val="fr-FR"/>
        </w:rPr>
        <w:t xml:space="preserve">, trad. Stefanie Buzmaniuk, dans Pierre Mennerat, « La stratégie qui acte le réveil militaire de l’Allemagne : texte intégral », </w:t>
      </w:r>
      <w:r>
        <w:rPr>
          <w:rStyle w:val="Emphasis"/>
          <w:rFonts w:cs="Times New Roman" w:ascii="Times New Roman" w:hAnsi="Times New Roman"/>
          <w:lang w:val="fr-FR"/>
        </w:rPr>
        <w:t>Le Grand Continent</w:t>
      </w:r>
      <w:r>
        <w:rPr>
          <w:rFonts w:cs="Times New Roman" w:ascii="Times New Roman" w:hAnsi="Times New Roman"/>
          <w:lang w:val="fr-FR"/>
        </w:rPr>
        <w:t>, rubrique « Archives et discours / Europe », 22 avril 2026, p. 6</w:t>
      </w:r>
    </w:p>
  </w:footnote>
  <w:footnote w:id="5">
    <w:p>
      <w:pPr>
        <w:pStyle w:val="FootnoteText"/>
        <w:rPr>
          <w:rFonts w:ascii="Times New Roman" w:hAnsi="Times New Roman" w:cs="Times New Roman"/>
          <w:lang w:val="fr-FR"/>
        </w:rPr>
      </w:pPr>
      <w:r>
        <w:rPr>
          <w:rStyle w:val="FootnoteCharacters"/>
        </w:rPr>
        <w:footnoteRef/>
      </w:r>
      <w:r>
        <w:rPr>
          <w:rFonts w:cs="Times New Roman" w:ascii="Times New Roman" w:hAnsi="Times New Roman"/>
          <w:lang w:val="de-DE"/>
        </w:rPr>
        <w:t xml:space="preserve"> </w:t>
      </w:r>
      <w:r>
        <w:rPr>
          <w:rStyle w:val="Emphasis"/>
          <w:rFonts w:cs="Times New Roman" w:ascii="Times New Roman" w:hAnsi="Times New Roman"/>
          <w:lang w:val="de-DE"/>
        </w:rPr>
        <w:t>Gesamtkonzeption der militärischen Verteidigung</w:t>
      </w:r>
      <w:r>
        <w:rPr>
          <w:rFonts w:cs="Times New Roman" w:ascii="Times New Roman" w:hAnsi="Times New Roman"/>
          <w:lang w:val="de-DE"/>
        </w:rPr>
        <w:t xml:space="preserve">, trad. </w:t>
      </w:r>
      <w:r>
        <w:rPr>
          <w:rFonts w:cs="Times New Roman" w:ascii="Times New Roman" w:hAnsi="Times New Roman"/>
          <w:lang w:val="fr-FR"/>
        </w:rPr>
        <w:t xml:space="preserve">Stefanie Buzmaniuk, dans Pierre Mennerat, « La stratégie qui acte le réveil militaire de l’Allemagne : texte intégral », </w:t>
      </w:r>
      <w:r>
        <w:rPr>
          <w:rStyle w:val="Emphasis"/>
          <w:rFonts w:cs="Times New Roman" w:ascii="Times New Roman" w:hAnsi="Times New Roman"/>
          <w:lang w:val="fr-FR"/>
        </w:rPr>
        <w:t>Le Grand Continent</w:t>
      </w:r>
      <w:r>
        <w:rPr>
          <w:rFonts w:cs="Times New Roman" w:ascii="Times New Roman" w:hAnsi="Times New Roman"/>
          <w:lang w:val="fr-FR"/>
        </w:rPr>
        <w:t>, rubrique « Archives et discours / Europe », 22 avril 2026, p. 17</w:t>
      </w:r>
    </w:p>
    <w:p>
      <w:pPr>
        <w:pStyle w:val="FootnoteText"/>
        <w:rPr>
          <w:lang w:val="fr-FR"/>
        </w:rPr>
      </w:pPr>
      <w:r>
        <w:rPr/>
      </w:r>
    </w:p>
  </w:footnote>
  <w:footnote w:id="6">
    <w:p>
      <w:pPr>
        <w:pStyle w:val="FootnoteText"/>
        <w:rPr>
          <w:lang w:val="de-DE"/>
        </w:rPr>
      </w:pPr>
      <w:r>
        <w:rPr>
          <w:rStyle w:val="FootnoteCharacters"/>
        </w:rPr>
        <w:footnoteRef/>
      </w:r>
      <w:r>
        <w:rPr>
          <w:lang w:val="de-DE"/>
        </w:rPr>
        <w:t xml:space="preserve"> </w:t>
      </w:r>
      <w:r>
        <w:rPr>
          <w:rFonts w:eastAsia="Times New Roman" w:cs="Times New Roman" w:ascii="Times New Roman" w:hAnsi="Times New Roman"/>
          <w:i/>
          <w:iCs/>
          <w:color w:val="auto"/>
          <w:szCs w:val="24"/>
          <w:lang w:val="de-DE" w:eastAsia="fr-FR"/>
        </w:rPr>
        <w:t>Gesamtkonzeption der militärischen Verteidigung</w:t>
      </w:r>
      <w:r>
        <w:rPr>
          <w:rFonts w:eastAsia="Times New Roman" w:cs="Times New Roman" w:ascii="Times New Roman" w:hAnsi="Times New Roman"/>
          <w:color w:val="auto"/>
          <w:szCs w:val="24"/>
          <w:lang w:val="de-DE" w:eastAsia="fr-FR"/>
        </w:rPr>
        <w:t>, avril 2026, p. 2 l’expression apparaît 4 fois dans le texte</w:t>
      </w:r>
    </w:p>
  </w:footnote>
  <w:footnote w:id="7">
    <w:p>
      <w:pPr>
        <w:pStyle w:val="FootnoteText"/>
        <w:rPr>
          <w:rFonts w:ascii="Times New Roman" w:hAnsi="Times New Roman" w:cs="Times New Roman"/>
          <w:lang w:val="fr-FR"/>
        </w:rPr>
      </w:pPr>
      <w:r>
        <w:rPr>
          <w:rStyle w:val="FootnoteCharacters"/>
        </w:rPr>
        <w:footnoteRef/>
      </w:r>
      <w:r>
        <w:rPr>
          <w:rFonts w:cs="Times New Roman" w:ascii="Times New Roman" w:hAnsi="Times New Roman"/>
          <w:lang w:val="de-DE"/>
        </w:rPr>
        <w:t xml:space="preserve"> </w:t>
      </w:r>
      <w:r>
        <w:rPr>
          <w:rFonts w:cs="Times New Roman" w:ascii="Times New Roman" w:hAnsi="Times New Roman"/>
          <w:lang w:val="de-DE"/>
        </w:rPr>
        <w:t xml:space="preserve">», </w:t>
      </w:r>
      <w:r>
        <w:rPr>
          <w:rStyle w:val="Emphasis"/>
          <w:rFonts w:cs="Times New Roman" w:ascii="Times New Roman" w:hAnsi="Times New Roman"/>
          <w:lang w:val="de-DE"/>
        </w:rPr>
        <w:t>Gesamtkonzeption der militärischen Verteidigung</w:t>
      </w:r>
      <w:r>
        <w:rPr>
          <w:rFonts w:cs="Times New Roman" w:ascii="Times New Roman" w:hAnsi="Times New Roman"/>
          <w:lang w:val="de-DE"/>
        </w:rPr>
        <w:t xml:space="preserve">, trad. </w:t>
      </w:r>
      <w:r>
        <w:rPr>
          <w:rFonts w:cs="Times New Roman" w:ascii="Times New Roman" w:hAnsi="Times New Roman"/>
          <w:lang w:val="fr-FR"/>
        </w:rPr>
        <w:t xml:space="preserve">Stefanie Buzmaniuk, dans Pierre Mennerat, « La stratégie qui acte le réveil militaire de l’Allemagne : texte intégral », </w:t>
      </w:r>
      <w:r>
        <w:rPr>
          <w:rStyle w:val="Emphasis"/>
          <w:rFonts w:cs="Times New Roman" w:ascii="Times New Roman" w:hAnsi="Times New Roman"/>
          <w:lang w:val="fr-FR"/>
        </w:rPr>
        <w:t>Le Grand Continent</w:t>
      </w:r>
      <w:r>
        <w:rPr>
          <w:rFonts w:cs="Times New Roman" w:ascii="Times New Roman" w:hAnsi="Times New Roman"/>
          <w:lang w:val="fr-FR"/>
        </w:rPr>
        <w:t>, rubrique « Archives et discours / Europe », 22 avril 2026, p. 10</w:t>
      </w:r>
    </w:p>
    <w:p>
      <w:pPr>
        <w:pStyle w:val="FootnoteText"/>
        <w:rPr>
          <w:lang w:val="fr-FR"/>
        </w:rPr>
      </w:pPr>
      <w:r>
        <w:rPr/>
      </w:r>
    </w:p>
  </w:footnote>
  <w:footnote w:id="8">
    <w:p>
      <w:pPr>
        <w:pStyle w:val="NormalWeb"/>
        <w:spacing w:beforeAutospacing="0" w:before="0" w:afterAutospacing="0" w:after="0"/>
        <w:ind w:start="284"/>
        <w:rPr>
          <w:lang w:val="en-US"/>
        </w:rPr>
      </w:pPr>
      <w:r>
        <w:rPr>
          <w:rStyle w:val="FootnoteCharacters"/>
        </w:rPr>
        <w:footnoteRef/>
      </w:r>
      <w:r>
        <w:rPr>
          <w:lang w:val="en-US"/>
        </w:rPr>
        <w:t xml:space="preserve"> </w:t>
      </w:r>
      <w:r>
        <w:rPr>
          <w:sz w:val="20"/>
          <w:szCs w:val="20"/>
          <w:lang w:val="en-US"/>
        </w:rPr>
        <w:t xml:space="preserve">Stephen M. Saideman and David P. Auerswald, “Comparing Caveats: Understanding the Sources of National Restrictions upon NATO’s Mission in Afghanistan,” </w:t>
      </w:r>
      <w:r>
        <w:rPr>
          <w:rStyle w:val="Emphasis"/>
          <w:rFonts w:eastAsia="" w:eastAsiaTheme="majorEastAsia"/>
          <w:sz w:val="20"/>
          <w:szCs w:val="20"/>
          <w:lang w:val="en-US"/>
        </w:rPr>
        <w:t>International Studies Quarterly</w:t>
      </w:r>
      <w:r>
        <w:rPr>
          <w:sz w:val="20"/>
          <w:szCs w:val="20"/>
          <w:lang w:val="en-US"/>
        </w:rPr>
        <w:t xml:space="preserve"> 56, no. 1 (March 2012) : 69–84. </w:t>
      </w:r>
    </w:p>
  </w:footnote>
  <w:footnote w:id="9">
    <w:p>
      <w:pPr>
        <w:pStyle w:val="FootnoteText"/>
        <w:rPr>
          <w:lang w:val="fr-FR"/>
        </w:rPr>
      </w:pPr>
      <w:r>
        <w:rPr>
          <w:rStyle w:val="FootnoteCharacters"/>
        </w:rPr>
        <w:footnoteRef/>
      </w:r>
      <w:r>
        <w:rPr>
          <w:lang w:val="fr-FR"/>
        </w:rPr>
        <w:t xml:space="preserve"> </w:t>
      </w:r>
      <w:r>
        <w:rPr>
          <w:rFonts w:eastAsia="Times New Roman" w:cs="Times New Roman" w:ascii="Times New Roman" w:hAnsi="Times New Roman"/>
          <w:color w:val="auto"/>
          <w:szCs w:val="24"/>
          <w:lang w:val="fr-FR" w:eastAsia="fr-FR"/>
        </w:rPr>
        <w:t xml:space="preserve">Alain Peyrefitte, </w:t>
      </w:r>
      <w:r>
        <w:rPr>
          <w:rFonts w:eastAsia="Times New Roman" w:cs="Times New Roman" w:ascii="Times New Roman" w:hAnsi="Times New Roman"/>
          <w:i/>
          <w:iCs/>
          <w:color w:val="auto"/>
          <w:szCs w:val="24"/>
          <w:lang w:val="fr-FR" w:eastAsia="fr-FR"/>
        </w:rPr>
        <w:t>C’était de Gaulle</w:t>
      </w:r>
      <w:r>
        <w:rPr>
          <w:rFonts w:eastAsia="Times New Roman" w:cs="Times New Roman" w:ascii="Times New Roman" w:hAnsi="Times New Roman"/>
          <w:color w:val="auto"/>
          <w:szCs w:val="24"/>
          <w:lang w:val="fr-FR" w:eastAsia="fr-FR"/>
        </w:rPr>
        <w:t>, t. I (Paris : Éditions de Fallois / Fayard, 1994).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lang w:val="fr-FR"/>
      </w:rPr>
    </w:pPr>
    <w:r>
      <w:rPr>
        <w:rFonts w:cs="Times New Roman" w:ascii="Times New Roman" w:hAnsi="Times New Roman"/>
        <w:lang w:val="fr-FR"/>
      </w:rPr>
      <w:t>Bundeswehr : le réveil militaire ou la mainmise sur la défense européenne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lang w:val="fr-FR"/>
      </w:rPr>
    </w:pPr>
    <w:r>
      <w:rPr>
        <w:rFonts w:cs="Times New Roman" w:ascii="Times New Roman" w:hAnsi="Times New Roman"/>
        <w:lang w:val="fr-FR"/>
      </w:rPr>
      <w:t>Bundeswehr : le réveil militaire ou la mainmise sur la défense européenne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00"/>
  <w:documentProtection w:edit="readOnly" w:enforcement="0" w:cryptProviderType="rsaAES" w:cryptAlgorithmClass="hash" w:cryptAlgorithmType="typeAny" w:cryptSpinCount="0" w:hash="" w:salt=""/>
  <w:defaultTabStop w:val="708"/>
  <w:autoHyphenation w:val="true"/>
  <w:hyphenationZone w:val="425"/>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158"/>
    <w:pPr>
      <w:widowControl/>
      <w:suppressAutoHyphens w:val="false"/>
      <w:bidi w:val="0"/>
      <w:spacing w:lineRule="auto" w:line="300" w:before="0" w:after="120"/>
      <w:ind w:start="340"/>
      <w:jc w:val="both"/>
    </w:pPr>
    <w:rPr>
      <w:rFonts w:ascii="EB Garamond" w:hAnsi="EB Garamond" w:eastAsia="" w:eastAsiaTheme="minorEastAsia" w:cs=""/>
      <w:color w:themeColor="text1" w:val="000000"/>
      <w:kern w:val="0"/>
      <w:sz w:val="24"/>
      <w:szCs w:val="22"/>
      <w:lang w:val="en-US" w:eastAsia="en-US" w:bidi="ar-SA"/>
      <w14:ligatures w14:val="none"/>
    </w:rPr>
  </w:style>
  <w:style w:type="paragraph" w:styleId="Heading1">
    <w:name w:val="heading 1"/>
    <w:basedOn w:val="Normal"/>
    <w:next w:val="Normal"/>
    <w:link w:val="Titre1Car"/>
    <w:autoRedefine/>
    <w:uiPriority w:val="9"/>
    <w:qFormat/>
    <w:rsid w:val="008f2f41"/>
    <w:pPr>
      <w:keepNext w:val="true"/>
      <w:keepLines/>
      <w:spacing w:before="0" w:after="0"/>
      <w:ind w:start="0"/>
      <w:jc w:val="start"/>
      <w:outlineLvl w:val="0"/>
    </w:pPr>
    <w:rPr>
      <w:rFonts w:ascii="Aptos Display" w:hAnsi="Aptos Display" w:eastAsia="Times New Roman" w:cs="" w:asciiTheme="majorHAnsi" w:cstheme="majorBidi" w:hAnsiTheme="majorHAnsi"/>
      <w:b/>
      <w:color w:themeColor="text2" w:themeTint="80" w:val="4C94D8"/>
      <w:sz w:val="30"/>
      <w:szCs w:val="30"/>
      <w:lang w:val="fr-FR" w:eastAsia="fr-FR"/>
    </w:rPr>
  </w:style>
  <w:style w:type="paragraph" w:styleId="Heading2">
    <w:name w:val="heading 2"/>
    <w:basedOn w:val="Normal"/>
    <w:next w:val="Normal"/>
    <w:link w:val="Titre2Car"/>
    <w:uiPriority w:val="9"/>
    <w:unhideWhenUsed/>
    <w:qFormat/>
    <w:rsid w:val="008f3793"/>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re3Car"/>
    <w:autoRedefine/>
    <w:uiPriority w:val="9"/>
    <w:unhideWhenUsed/>
    <w:qFormat/>
    <w:rsid w:val="00085d93"/>
    <w:pPr>
      <w:keepNext w:val="true"/>
      <w:keepLines/>
      <w:spacing w:lineRule="auto" w:line="240" w:before="160" w:after="80"/>
      <w:ind w:start="0"/>
      <w:outlineLvl w:val="2"/>
    </w:pPr>
    <w:rPr>
      <w:rFonts w:ascii="Aptos Display" w:hAnsi="Aptos Display" w:eastAsia="" w:cs="" w:asciiTheme="majorHAnsi" w:cstheme="majorBidi" w:eastAsiaTheme="majorEastAsia" w:hAnsiTheme="majorHAnsi"/>
      <w:color w:themeColor="text2" w:themeTint="80" w:val="4C94D8"/>
      <w:sz w:val="26"/>
      <w:szCs w:val="28"/>
    </w:rPr>
  </w:style>
  <w:style w:type="paragraph" w:styleId="Heading4">
    <w:name w:val="heading 4"/>
    <w:basedOn w:val="Normal"/>
    <w:next w:val="Normal"/>
    <w:link w:val="Titre4Car"/>
    <w:autoRedefine/>
    <w:uiPriority w:val="9"/>
    <w:unhideWhenUsed/>
    <w:qFormat/>
    <w:rsid w:val="00de231d"/>
    <w:pPr>
      <w:keepNext w:val="true"/>
      <w:keepLines/>
      <w:spacing w:before="80" w:after="40"/>
      <w:outlineLvl w:val="3"/>
    </w:pPr>
    <w:rPr>
      <w:rFonts w:ascii="Times New Roman" w:hAnsi="Times New Roman" w:eastAsia="" w:cs="" w:cstheme="majorBidi" w:eastAsiaTheme="majorEastAsia"/>
      <w:b/>
      <w:i/>
      <w:iCs/>
      <w:color w:themeColor="text2" w:themeTint="80" w:val="4C94D8"/>
    </w:rPr>
  </w:style>
  <w:style w:type="paragraph" w:styleId="Heading5">
    <w:name w:val="heading 5"/>
    <w:basedOn w:val="Normal"/>
    <w:next w:val="Normal"/>
    <w:link w:val="Titre5Car"/>
    <w:uiPriority w:val="9"/>
    <w:semiHidden/>
    <w:unhideWhenUsed/>
    <w:qFormat/>
    <w:rsid w:val="008f3793"/>
    <w:pPr>
      <w:keepNext w:val="true"/>
      <w:keepLines/>
      <w:spacing w:before="80" w:after="40"/>
      <w:outlineLvl w:val="4"/>
    </w:pPr>
    <w:rPr>
      <w:rFonts w:ascii="Aptos" w:hAnsi="Aptos" w:eastAsia="" w:cs="" w:asciiTheme="minorHAnsi" w:cstheme="majorBidi" w:eastAsiaTheme="majorEastAsia" w:hAnsiTheme="minorHAnsi"/>
      <w:color w:themeColor="accent1" w:themeShade="bf" w:val="0F4761"/>
    </w:rPr>
  </w:style>
  <w:style w:type="paragraph" w:styleId="Heading6">
    <w:name w:val="heading 6"/>
    <w:basedOn w:val="Normal"/>
    <w:next w:val="Normal"/>
    <w:link w:val="Titre6Car"/>
    <w:uiPriority w:val="9"/>
    <w:semiHidden/>
    <w:unhideWhenUsed/>
    <w:qFormat/>
    <w:rsid w:val="008f3793"/>
    <w:pPr>
      <w:keepNext w:val="true"/>
      <w:keepLines/>
      <w:spacing w:before="40" w:after="0"/>
      <w:outlineLvl w:val="5"/>
    </w:pPr>
    <w:rPr>
      <w:rFonts w:ascii="Aptos" w:hAnsi="Aptos" w:eastAsia="" w:cs="" w:asciiTheme="minorHAnsi" w:cstheme="majorBidi" w:eastAsiaTheme="majorEastAsia" w:hAnsiTheme="minorHAnsi"/>
      <w:i/>
      <w:iCs/>
      <w:color w:themeColor="dark1" w:themeTint="a6" w:val="595959"/>
    </w:rPr>
  </w:style>
  <w:style w:type="paragraph" w:styleId="Heading7">
    <w:name w:val="heading 7"/>
    <w:basedOn w:val="Normal"/>
    <w:next w:val="Normal"/>
    <w:link w:val="Titre7Car"/>
    <w:uiPriority w:val="9"/>
    <w:semiHidden/>
    <w:unhideWhenUsed/>
    <w:qFormat/>
    <w:rsid w:val="008f3793"/>
    <w:pPr>
      <w:keepNext w:val="true"/>
      <w:keepLines/>
      <w:spacing w:before="40" w:after="0"/>
      <w:outlineLvl w:val="6"/>
    </w:pPr>
    <w:rPr>
      <w:rFonts w:ascii="Aptos" w:hAnsi="Aptos" w:eastAsia="" w:cs="" w:asciiTheme="minorHAnsi" w:cstheme="majorBidi" w:eastAsiaTheme="majorEastAsia" w:hAnsiTheme="minorHAnsi"/>
      <w:color w:themeColor="dark1" w:themeTint="a6" w:val="595959"/>
    </w:rPr>
  </w:style>
  <w:style w:type="paragraph" w:styleId="Heading8">
    <w:name w:val="heading 8"/>
    <w:basedOn w:val="Normal"/>
    <w:next w:val="Normal"/>
    <w:link w:val="Titre8Car"/>
    <w:uiPriority w:val="9"/>
    <w:semiHidden/>
    <w:unhideWhenUsed/>
    <w:qFormat/>
    <w:rsid w:val="008f3793"/>
    <w:pPr>
      <w:keepNext w:val="true"/>
      <w:keepLines/>
      <w:spacing w:before="0" w:after="0"/>
      <w:outlineLvl w:val="7"/>
    </w:pPr>
    <w:rPr>
      <w:rFonts w:ascii="Aptos" w:hAnsi="Aptos" w:eastAsia="" w:cs="" w:asciiTheme="minorHAnsi" w:cstheme="majorBidi" w:eastAsiaTheme="majorEastAsia" w:hAnsiTheme="minorHAnsi"/>
      <w:i/>
      <w:iCs/>
      <w:color w:themeColor="dark1" w:themeTint="d8" w:val="272727"/>
    </w:rPr>
  </w:style>
  <w:style w:type="paragraph" w:styleId="Heading9">
    <w:name w:val="heading 9"/>
    <w:basedOn w:val="Normal"/>
    <w:next w:val="Normal"/>
    <w:link w:val="Titre9Car"/>
    <w:uiPriority w:val="9"/>
    <w:semiHidden/>
    <w:unhideWhenUsed/>
    <w:qFormat/>
    <w:rsid w:val="008f3793"/>
    <w:pPr>
      <w:keepNext w:val="true"/>
      <w:keepLines/>
      <w:spacing w:before="0" w:after="0"/>
      <w:outlineLvl w:val="8"/>
    </w:pPr>
    <w:rPr>
      <w:rFonts w:ascii="Aptos" w:hAnsi="Aptos" w:eastAsia="" w:cs="" w:asciiTheme="minorHAnsi" w:cstheme="majorBidi" w:eastAsiaTheme="majorEastAsia" w:hAnsiTheme="minorHAnsi"/>
      <w:color w:themeColor="dark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Heading1"/>
    <w:uiPriority w:val="9"/>
    <w:qFormat/>
    <w:rsid w:val="008f2f41"/>
    <w:rPr>
      <w:rFonts w:ascii="Aptos Display" w:hAnsi="Aptos Display" w:eastAsia="Times New Roman" w:cs="" w:asciiTheme="majorHAnsi" w:cstheme="majorBidi" w:hAnsiTheme="majorHAnsi"/>
      <w:b/>
      <w:color w:themeColor="text2" w:themeTint="80" w:val="4C94D8"/>
      <w:kern w:val="0"/>
      <w:sz w:val="30"/>
      <w:szCs w:val="30"/>
      <w:lang w:eastAsia="fr-FR"/>
      <w14:ligatures w14:val="none"/>
    </w:rPr>
  </w:style>
  <w:style w:type="character" w:styleId="Titre3Car" w:customStyle="1">
    <w:name w:val="Titre 3 Car"/>
    <w:basedOn w:val="DefaultParagraphFont"/>
    <w:link w:val="Heading3"/>
    <w:uiPriority w:val="9"/>
    <w:qFormat/>
    <w:rsid w:val="00085d93"/>
    <w:rPr>
      <w:rFonts w:ascii="Aptos Display" w:hAnsi="Aptos Display" w:eastAsia="" w:cs="" w:asciiTheme="majorHAnsi" w:cstheme="majorBidi" w:eastAsiaTheme="majorEastAsia" w:hAnsiTheme="majorHAnsi"/>
      <w:color w:themeColor="text2" w:themeTint="80" w:val="4C94D8"/>
      <w:kern w:val="0"/>
      <w:sz w:val="26"/>
      <w:szCs w:val="28"/>
      <w:lang w:val="en-US"/>
      <w14:ligatures w14:val="none"/>
    </w:rPr>
  </w:style>
  <w:style w:type="character" w:styleId="Titre4Car" w:customStyle="1">
    <w:name w:val="Titre 4 Car"/>
    <w:basedOn w:val="DefaultParagraphFont"/>
    <w:link w:val="Heading4"/>
    <w:uiPriority w:val="9"/>
    <w:qFormat/>
    <w:rsid w:val="00de231d"/>
    <w:rPr>
      <w:rFonts w:ascii="Times New Roman" w:hAnsi="Times New Roman" w:eastAsia="" w:cs="" w:cstheme="majorBidi" w:eastAsiaTheme="majorEastAsia"/>
      <w:b/>
      <w:i/>
      <w:iCs/>
      <w:color w:themeColor="text2" w:themeTint="80" w:val="4C94D8"/>
      <w:kern w:val="0"/>
      <w:szCs w:val="22"/>
      <w:lang w:val="en-US"/>
      <w14:ligatures w14:val="none"/>
    </w:rPr>
  </w:style>
  <w:style w:type="character" w:styleId="Titre2Car" w:customStyle="1">
    <w:name w:val="Titre 2 Car"/>
    <w:basedOn w:val="DefaultParagraphFont"/>
    <w:link w:val="Heading2"/>
    <w:uiPriority w:val="9"/>
    <w:qFormat/>
    <w:rsid w:val="008f3793"/>
    <w:rPr>
      <w:rFonts w:ascii="Aptos Display" w:hAnsi="Aptos Display" w:eastAsia="" w:cs="" w:asciiTheme="majorHAnsi" w:cstheme="majorBidi" w:eastAsiaTheme="majorEastAsia" w:hAnsiTheme="majorHAnsi"/>
      <w:color w:themeColor="accent1" w:themeShade="bf" w:val="0F4761"/>
      <w:kern w:val="0"/>
      <w:sz w:val="32"/>
      <w:szCs w:val="32"/>
      <w:lang w:val="en-US"/>
      <w14:ligatures w14:val="none"/>
    </w:rPr>
  </w:style>
  <w:style w:type="character" w:styleId="Titre5Car" w:customStyle="1">
    <w:name w:val="Titre 5 Car"/>
    <w:basedOn w:val="DefaultParagraphFont"/>
    <w:link w:val="Heading5"/>
    <w:uiPriority w:val="9"/>
    <w:semiHidden/>
    <w:qFormat/>
    <w:rsid w:val="008f3793"/>
    <w:rPr>
      <w:rFonts w:eastAsia="" w:cs="" w:cstheme="majorBidi" w:eastAsiaTheme="majorEastAsia"/>
      <w:color w:themeColor="accent1" w:themeShade="bf" w:val="0F4761"/>
      <w:kern w:val="0"/>
      <w:szCs w:val="22"/>
      <w:lang w:val="en-US"/>
      <w14:ligatures w14:val="none"/>
    </w:rPr>
  </w:style>
  <w:style w:type="character" w:styleId="Titre6Car" w:customStyle="1">
    <w:name w:val="Titre 6 Car"/>
    <w:basedOn w:val="DefaultParagraphFont"/>
    <w:link w:val="Heading6"/>
    <w:uiPriority w:val="9"/>
    <w:semiHidden/>
    <w:qFormat/>
    <w:rsid w:val="008f3793"/>
    <w:rPr>
      <w:rFonts w:eastAsia="" w:cs="" w:cstheme="majorBidi" w:eastAsiaTheme="majorEastAsia"/>
      <w:i/>
      <w:iCs/>
      <w:color w:themeColor="dark1" w:themeTint="a6" w:val="595959"/>
      <w:kern w:val="0"/>
      <w:szCs w:val="22"/>
      <w:lang w:val="en-US"/>
      <w14:ligatures w14:val="none"/>
    </w:rPr>
  </w:style>
  <w:style w:type="character" w:styleId="Titre7Car" w:customStyle="1">
    <w:name w:val="Titre 7 Car"/>
    <w:basedOn w:val="DefaultParagraphFont"/>
    <w:link w:val="Heading7"/>
    <w:uiPriority w:val="9"/>
    <w:semiHidden/>
    <w:qFormat/>
    <w:rsid w:val="008f3793"/>
    <w:rPr>
      <w:rFonts w:eastAsia="" w:cs="" w:cstheme="majorBidi" w:eastAsiaTheme="majorEastAsia"/>
      <w:color w:themeColor="dark1" w:themeTint="a6" w:val="595959"/>
      <w:kern w:val="0"/>
      <w:szCs w:val="22"/>
      <w:lang w:val="en-US"/>
      <w14:ligatures w14:val="none"/>
    </w:rPr>
  </w:style>
  <w:style w:type="character" w:styleId="Titre8Car" w:customStyle="1">
    <w:name w:val="Titre 8 Car"/>
    <w:basedOn w:val="DefaultParagraphFont"/>
    <w:link w:val="Heading8"/>
    <w:uiPriority w:val="9"/>
    <w:semiHidden/>
    <w:qFormat/>
    <w:rsid w:val="008f3793"/>
    <w:rPr>
      <w:rFonts w:eastAsia="" w:cs="" w:cstheme="majorBidi" w:eastAsiaTheme="majorEastAsia"/>
      <w:i/>
      <w:iCs/>
      <w:color w:themeColor="dark1" w:themeTint="d8" w:val="272727"/>
      <w:kern w:val="0"/>
      <w:szCs w:val="22"/>
      <w:lang w:val="en-US"/>
      <w14:ligatures w14:val="none"/>
    </w:rPr>
  </w:style>
  <w:style w:type="character" w:styleId="Titre9Car" w:customStyle="1">
    <w:name w:val="Titre 9 Car"/>
    <w:basedOn w:val="DefaultParagraphFont"/>
    <w:link w:val="Heading9"/>
    <w:uiPriority w:val="9"/>
    <w:semiHidden/>
    <w:qFormat/>
    <w:rsid w:val="008f3793"/>
    <w:rPr>
      <w:rFonts w:eastAsia="" w:cs="" w:cstheme="majorBidi" w:eastAsiaTheme="majorEastAsia"/>
      <w:color w:themeColor="dark1" w:themeTint="d8" w:val="272727"/>
      <w:kern w:val="0"/>
      <w:szCs w:val="22"/>
      <w:lang w:val="en-US"/>
      <w14:ligatures w14:val="none"/>
    </w:rPr>
  </w:style>
  <w:style w:type="character" w:styleId="TitreCar" w:customStyle="1">
    <w:name w:val="Titre Car"/>
    <w:basedOn w:val="DefaultParagraphFont"/>
    <w:link w:val="Title"/>
    <w:uiPriority w:val="10"/>
    <w:qFormat/>
    <w:rsid w:val="008f3793"/>
    <w:rPr>
      <w:rFonts w:ascii="Aptos Display" w:hAnsi="Aptos Display" w:eastAsia="" w:cs="" w:asciiTheme="majorHAnsi" w:cstheme="majorBidi" w:eastAsiaTheme="majorEastAsia" w:hAnsiTheme="majorHAnsi"/>
      <w:spacing w:val="-10"/>
      <w:kern w:val="2"/>
      <w:sz w:val="56"/>
      <w:szCs w:val="56"/>
      <w:lang w:val="en-US"/>
      <w14:ligatures w14:val="none"/>
    </w:rPr>
  </w:style>
  <w:style w:type="character" w:styleId="Sous-titreCar" w:customStyle="1">
    <w:name w:val="Sous-titre Car"/>
    <w:basedOn w:val="DefaultParagraphFont"/>
    <w:link w:val="Subtitle"/>
    <w:uiPriority w:val="11"/>
    <w:qFormat/>
    <w:rsid w:val="008f3793"/>
    <w:rPr>
      <w:rFonts w:eastAsia="" w:cs="" w:cstheme="majorBidi" w:eastAsiaTheme="majorEastAsia"/>
      <w:color w:themeColor="dark1" w:themeTint="a6" w:val="595959"/>
      <w:spacing w:val="15"/>
      <w:kern w:val="0"/>
      <w:sz w:val="28"/>
      <w:szCs w:val="28"/>
      <w:lang w:val="en-US"/>
      <w14:ligatures w14:val="none"/>
    </w:rPr>
  </w:style>
  <w:style w:type="character" w:styleId="CitationCar" w:customStyle="1">
    <w:name w:val="Citation Car"/>
    <w:basedOn w:val="DefaultParagraphFont"/>
    <w:link w:val="Quote"/>
    <w:uiPriority w:val="29"/>
    <w:qFormat/>
    <w:rsid w:val="008f3793"/>
    <w:rPr>
      <w:rFonts w:ascii="EB Garamond" w:hAnsi="EB Garamond" w:eastAsia="" w:eastAsiaTheme="minorEastAsia"/>
      <w:i/>
      <w:iCs/>
      <w:color w:themeColor="dark1" w:themeTint="bf" w:val="404040"/>
      <w:kern w:val="0"/>
      <w:szCs w:val="22"/>
      <w:lang w:val="en-US"/>
      <w14:ligatures w14:val="none"/>
    </w:rPr>
  </w:style>
  <w:style w:type="character" w:styleId="IntenseEmphasis">
    <w:name w:val="Intense Emphasis"/>
    <w:basedOn w:val="DefaultParagraphFont"/>
    <w:uiPriority w:val="21"/>
    <w:qFormat/>
    <w:rsid w:val="008f3793"/>
    <w:rPr>
      <w:i/>
      <w:iCs/>
      <w:color w:themeColor="accent1" w:themeShade="bf" w:val="0F4761"/>
    </w:rPr>
  </w:style>
  <w:style w:type="character" w:styleId="CitationintenseCar" w:customStyle="1">
    <w:name w:val="Citation intense Car"/>
    <w:basedOn w:val="DefaultParagraphFont"/>
    <w:link w:val="IntenseQuote"/>
    <w:uiPriority w:val="30"/>
    <w:qFormat/>
    <w:rsid w:val="008f3793"/>
    <w:rPr>
      <w:rFonts w:ascii="EB Garamond" w:hAnsi="EB Garamond" w:eastAsia="" w:eastAsiaTheme="minorEastAsia"/>
      <w:i/>
      <w:iCs/>
      <w:color w:themeColor="accent1" w:themeShade="bf" w:val="0F4761"/>
      <w:kern w:val="0"/>
      <w:szCs w:val="22"/>
      <w:lang w:val="en-US"/>
      <w14:ligatures w14:val="none"/>
    </w:rPr>
  </w:style>
  <w:style w:type="character" w:styleId="IntenseReference">
    <w:name w:val="Intense Reference"/>
    <w:basedOn w:val="DefaultParagraphFont"/>
    <w:uiPriority w:val="32"/>
    <w:qFormat/>
    <w:rsid w:val="008f3793"/>
    <w:rPr>
      <w:b/>
      <w:bCs/>
      <w:smallCaps/>
      <w:color w:themeColor="accent1" w:themeShade="bf" w:val="0F4761"/>
      <w:spacing w:val="5"/>
    </w:rPr>
  </w:style>
  <w:style w:type="character" w:styleId="Emphasis">
    <w:name w:val="Emphasis"/>
    <w:basedOn w:val="DefaultParagraphFont"/>
    <w:uiPriority w:val="20"/>
    <w:qFormat/>
    <w:rsid w:val="001604a6"/>
    <w:rPr>
      <w:i/>
      <w:iCs/>
    </w:rPr>
  </w:style>
  <w:style w:type="character" w:styleId="En-tteCar" w:customStyle="1">
    <w:name w:val="En-tête Car"/>
    <w:basedOn w:val="DefaultParagraphFont"/>
    <w:link w:val="Header"/>
    <w:uiPriority w:val="99"/>
    <w:qFormat/>
    <w:rsid w:val="00dc2195"/>
    <w:rPr>
      <w:rFonts w:ascii="EB Garamond" w:hAnsi="EB Garamond" w:eastAsia="" w:eastAsiaTheme="minorEastAsia"/>
      <w:color w:themeColor="text1" w:val="000000"/>
      <w:kern w:val="0"/>
      <w:szCs w:val="22"/>
      <w:lang w:val="en-US"/>
      <w14:ligatures w14:val="none"/>
    </w:rPr>
  </w:style>
  <w:style w:type="character" w:styleId="PieddepageCar" w:customStyle="1">
    <w:name w:val="Pied de page Car"/>
    <w:basedOn w:val="DefaultParagraphFont"/>
    <w:link w:val="Footer"/>
    <w:uiPriority w:val="99"/>
    <w:qFormat/>
    <w:rsid w:val="00dc2195"/>
    <w:rPr>
      <w:rFonts w:ascii="EB Garamond" w:hAnsi="EB Garamond" w:eastAsia="" w:eastAsiaTheme="minorEastAsia"/>
      <w:color w:themeColor="text1" w:val="000000"/>
      <w:kern w:val="0"/>
      <w:szCs w:val="22"/>
      <w:lang w:val="en-US"/>
      <w14:ligatures w14:val="none"/>
    </w:rPr>
  </w:style>
  <w:style w:type="character" w:styleId="NotedebasdepageCar" w:customStyle="1">
    <w:name w:val="Note de bas de page Car"/>
    <w:basedOn w:val="DefaultParagraphFont"/>
    <w:link w:val="FootnoteText"/>
    <w:uiPriority w:val="99"/>
    <w:semiHidden/>
    <w:qFormat/>
    <w:rsid w:val="00d97d6f"/>
    <w:rPr>
      <w:rFonts w:ascii="EB Garamond" w:hAnsi="EB Garamond" w:eastAsia="" w:eastAsiaTheme="minorEastAsia"/>
      <w:color w:themeColor="text1" w:val="000000"/>
      <w:kern w:val="0"/>
      <w:sz w:val="20"/>
      <w:szCs w:val="20"/>
      <w:lang w:val="en-US"/>
      <w14:ligatures w14:val="none"/>
    </w:rPr>
  </w:style>
  <w:style w:type="character" w:styleId="FootnoteCharacters">
    <w:name w:val="Footnote Characters"/>
    <w:basedOn w:val="DefaultParagraphFont"/>
    <w:uiPriority w:val="99"/>
    <w:semiHidden/>
    <w:unhideWhenUsed/>
    <w:qFormat/>
    <w:rsid w:val="00d97d6f"/>
    <w:rPr>
      <w:vertAlign w:val="superscript"/>
    </w:rPr>
  </w:style>
  <w:style w:type="character" w:styleId="FootnoteReference">
    <w:name w:val="footnote reference"/>
    <w:rPr>
      <w:vertAlign w:val="superscript"/>
    </w:rPr>
  </w:style>
  <w:style w:type="character" w:styleId="SansinterligneCar" w:customStyle="1">
    <w:name w:val="Sans interligne Car"/>
    <w:basedOn w:val="DefaultParagraphFont"/>
    <w:link w:val="NoSpacing"/>
    <w:uiPriority w:val="1"/>
    <w:qFormat/>
    <w:rsid w:val="00f14165"/>
    <w:rPr>
      <w:rFonts w:eastAsia="" w:eastAsiaTheme="minorEastAsia"/>
      <w:kern w:val="0"/>
      <w:sz w:val="22"/>
      <w:szCs w:val="22"/>
      <w:lang w:eastAsia="fr-FR"/>
      <w14:ligatures w14:val="none"/>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link w:val="TitreCar"/>
    <w:uiPriority w:val="10"/>
    <w:qFormat/>
    <w:rsid w:val="008f3793"/>
    <w:pPr>
      <w:spacing w:lineRule="auto" w:line="240" w:before="0" w:after="80"/>
      <w:contextualSpacing/>
    </w:pPr>
    <w:rPr>
      <w:rFonts w:ascii="Aptos Display" w:hAnsi="Aptos Display" w:eastAsia="" w:cs="" w:asciiTheme="majorHAnsi" w:cstheme="majorBidi" w:eastAsiaTheme="majorEastAsia" w:hAnsiTheme="majorHAnsi"/>
      <w:color w:val="auto"/>
      <w:spacing w:val="-10"/>
      <w:kern w:val="2"/>
      <w:sz w:val="56"/>
      <w:szCs w:val="56"/>
    </w:rPr>
  </w:style>
  <w:style w:type="paragraph" w:styleId="Subtitle">
    <w:name w:val="Subtitle"/>
    <w:basedOn w:val="Normal"/>
    <w:next w:val="Normal"/>
    <w:link w:val="Sous-titreCar"/>
    <w:uiPriority w:val="11"/>
    <w:qFormat/>
    <w:rsid w:val="008f3793"/>
    <w:pPr>
      <w:spacing w:before="0" w:after="160"/>
      <w:ind w:start="340"/>
    </w:pPr>
    <w:rPr>
      <w:rFonts w:ascii="Aptos" w:hAnsi="Aptos" w:eastAsia="" w:cs="" w:asciiTheme="minorHAnsi" w:cstheme="majorBidi" w:eastAsiaTheme="majorEastAsia" w:hAnsiTheme="minorHAnsi"/>
      <w:color w:themeColor="dark1" w:themeTint="a6" w:val="595959"/>
      <w:spacing w:val="15"/>
      <w:sz w:val="28"/>
      <w:szCs w:val="28"/>
    </w:rPr>
  </w:style>
  <w:style w:type="paragraph" w:styleId="Quote">
    <w:name w:val="Quote"/>
    <w:basedOn w:val="Normal"/>
    <w:next w:val="Normal"/>
    <w:link w:val="CitationCar"/>
    <w:uiPriority w:val="29"/>
    <w:qFormat/>
    <w:rsid w:val="008f3793"/>
    <w:pPr>
      <w:spacing w:before="160" w:after="160"/>
      <w:jc w:val="center"/>
    </w:pPr>
    <w:rPr>
      <w:i/>
      <w:iCs/>
      <w:color w:themeColor="dark1" w:themeTint="bf" w:val="404040"/>
    </w:rPr>
  </w:style>
  <w:style w:type="paragraph" w:styleId="ListParagraph">
    <w:name w:val="List Paragraph"/>
    <w:basedOn w:val="Normal"/>
    <w:uiPriority w:val="34"/>
    <w:qFormat/>
    <w:rsid w:val="008f3793"/>
    <w:pPr>
      <w:spacing w:before="0" w:after="120"/>
      <w:ind w:start="720"/>
      <w:contextualSpacing/>
    </w:pPr>
    <w:rPr/>
  </w:style>
  <w:style w:type="paragraph" w:styleId="IntenseQuote">
    <w:name w:val="Intense Quote"/>
    <w:basedOn w:val="Normal"/>
    <w:next w:val="Normal"/>
    <w:link w:val="CitationintenseCar"/>
    <w:uiPriority w:val="30"/>
    <w:qFormat/>
    <w:rsid w:val="008f3793"/>
    <w:pPr>
      <w:pBdr>
        <w:top w:val="single" w:sz="4" w:space="10" w:color="0F4761" w:themeColor="accent1" w:themeShade="bf"/>
        <w:bottom w:val="single" w:sz="4" w:space="10" w:color="0F4761" w:themeColor="accent1" w:themeShade="bf"/>
      </w:pBdr>
      <w:spacing w:before="360" w:after="360"/>
      <w:ind w:start="864" w:end="864"/>
      <w:jc w:val="center"/>
    </w:pPr>
    <w:rPr>
      <w:i/>
      <w:iCs/>
      <w:color w:themeColor="accent1" w:themeShade="bf" w:val="0F4761"/>
    </w:rPr>
  </w:style>
  <w:style w:type="paragraph" w:styleId="NormalWeb">
    <w:name w:val="Normal (Web)"/>
    <w:basedOn w:val="Normal"/>
    <w:uiPriority w:val="99"/>
    <w:unhideWhenUsed/>
    <w:qFormat/>
    <w:rsid w:val="001604a6"/>
    <w:pPr>
      <w:spacing w:lineRule="auto" w:line="240" w:beforeAutospacing="1" w:afterAutospacing="1"/>
      <w:ind w:start="0"/>
      <w:jc w:val="start"/>
    </w:pPr>
    <w:rPr>
      <w:rFonts w:ascii="Times New Roman" w:hAnsi="Times New Roman" w:eastAsia="Times New Roman" w:cs="Times New Roman"/>
      <w:color w:val="auto"/>
      <w:szCs w:val="24"/>
      <w:lang w:val="fr-FR" w:eastAsia="fr-FR"/>
    </w:rPr>
  </w:style>
  <w:style w:type="paragraph" w:styleId="HeaderandFooter">
    <w:name w:val="Header and Footer"/>
    <w:basedOn w:val="Normal"/>
    <w:qFormat/>
    <w:pPr/>
    <w:rPr/>
  </w:style>
  <w:style w:type="paragraph" w:styleId="Header">
    <w:name w:val="header"/>
    <w:basedOn w:val="Normal"/>
    <w:link w:val="En-tteCar"/>
    <w:uiPriority w:val="99"/>
    <w:unhideWhenUsed/>
    <w:rsid w:val="00dc2195"/>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dc2195"/>
    <w:pPr>
      <w:tabs>
        <w:tab w:val="clear" w:pos="708"/>
        <w:tab w:val="center" w:pos="4536" w:leader="none"/>
        <w:tab w:val="right" w:pos="9072" w:leader="none"/>
      </w:tabs>
      <w:spacing w:lineRule="auto" w:line="240" w:before="0" w:after="0"/>
    </w:pPr>
    <w:rPr/>
  </w:style>
  <w:style w:type="paragraph" w:styleId="FootnoteText">
    <w:name w:val="footnote text"/>
    <w:basedOn w:val="Normal"/>
    <w:link w:val="NotedebasdepageCar"/>
    <w:uiPriority w:val="99"/>
    <w:semiHidden/>
    <w:unhideWhenUsed/>
    <w:rsid w:val="00d97d6f"/>
    <w:pPr>
      <w:spacing w:lineRule="auto" w:line="240" w:before="0" w:after="0"/>
    </w:pPr>
    <w:rPr>
      <w:sz w:val="20"/>
      <w:szCs w:val="20"/>
    </w:rPr>
  </w:style>
  <w:style w:type="paragraph" w:styleId="NoSpacing">
    <w:name w:val="No Spacing"/>
    <w:link w:val="SansinterligneCar"/>
    <w:uiPriority w:val="1"/>
    <w:qFormat/>
    <w:rsid w:val="00f14165"/>
    <w:pPr>
      <w:widowControl/>
      <w:bidi w:val="0"/>
      <w:spacing w:lineRule="auto" w:line="240" w:before="0" w:after="0"/>
      <w:jc w:val="start"/>
    </w:pPr>
    <w:rPr>
      <w:rFonts w:eastAsia="" w:eastAsiaTheme="minorEastAsia" w:ascii="Aptos" w:hAnsi="Aptos" w:cs=""/>
      <w:color w:val="auto"/>
      <w:kern w:val="0"/>
      <w:sz w:val="22"/>
      <w:szCs w:val="22"/>
      <w:lang w:eastAsia="fr-FR" w:val="fr-FR" w:bidi="ar-SA"/>
      <w14:ligatures w14:val="none"/>
    </w:rPr>
  </w:style>
  <w:style w:type="paragraph" w:styleId="HeaderLeft">
    <w:name w:val="Header Left"/>
    <w:basedOn w:val="Header"/>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notes" Target="footnotes.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70878-4C6C-4CB0-8E77-D8135EB8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Application>LibreOffice/26.2.3.2$Windows_X86_64 LibreOffice_project/70e089b17412e4cb7773e41413306b17a2328c34</Application>
  <AppVersion>15.0000</AppVersion>
  <Pages>4</Pages>
  <Words>4577</Words>
  <Characters>26365</Characters>
  <CharactersWithSpaces>30880</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2026-04-28T15:43:00Z</dcterms:created>
  <dc:creator>Jean-Jacques Bénomard</dc:creator>
  <dc:description/>
  <dc:language>fr-FR</dc:language>
  <cp:lastModifiedBy>Jean-Jacques Bénomard</cp:lastModifiedBy>
  <dcterms:modified xsi:type="dcterms:W3CDTF">2026-04-28T16:00:00Z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